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DCA2A6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8AE3074" w:rsidR="00E66558" w:rsidRDefault="009D71E8">
      <w:pPr>
        <w:pStyle w:val="Heading2"/>
        <w:rPr>
          <w:b w:val="0"/>
          <w:bCs/>
          <w:color w:val="auto"/>
          <w:sz w:val="24"/>
          <w:szCs w:val="24"/>
        </w:rPr>
      </w:pPr>
      <w:r>
        <w:rPr>
          <w:b w:val="0"/>
          <w:bCs/>
          <w:color w:val="auto"/>
          <w:sz w:val="24"/>
          <w:szCs w:val="24"/>
        </w:rPr>
        <w:t xml:space="preserve">This statement details our school’s use of pupil premium </w:t>
      </w:r>
      <w:r w:rsidR="009E6F48">
        <w:rPr>
          <w:b w:val="0"/>
          <w:bCs/>
          <w:color w:val="auto"/>
          <w:sz w:val="24"/>
          <w:szCs w:val="24"/>
        </w:rPr>
        <w:t xml:space="preserve">funding </w:t>
      </w:r>
      <w:r>
        <w:rPr>
          <w:b w:val="0"/>
          <w:bCs/>
          <w:color w:val="auto"/>
          <w:sz w:val="24"/>
          <w:szCs w:val="24"/>
        </w:rPr>
        <w:t xml:space="preserve">(and recovery premium for the </w:t>
      </w:r>
      <w:r w:rsidR="009E6F48">
        <w:rPr>
          <w:b w:val="0"/>
          <w:bCs/>
          <w:color w:val="auto"/>
          <w:sz w:val="24"/>
          <w:szCs w:val="24"/>
        </w:rPr>
        <w:t xml:space="preserve">academic year </w:t>
      </w:r>
      <w:r>
        <w:rPr>
          <w:b w:val="0"/>
          <w:bCs/>
          <w:color w:val="auto"/>
          <w:sz w:val="24"/>
          <w:szCs w:val="24"/>
        </w:rPr>
        <w:t>202</w:t>
      </w:r>
      <w:r w:rsidR="009E6F48">
        <w:rPr>
          <w:b w:val="0"/>
          <w:bCs/>
          <w:color w:val="auto"/>
          <w:sz w:val="24"/>
          <w:szCs w:val="24"/>
        </w:rPr>
        <w:t>2</w:t>
      </w:r>
      <w:r>
        <w:rPr>
          <w:b w:val="0"/>
          <w:bCs/>
          <w:color w:val="auto"/>
          <w:sz w:val="24"/>
          <w:szCs w:val="24"/>
        </w:rPr>
        <w:t xml:space="preserve"> to 202</w:t>
      </w:r>
      <w:r w:rsidR="009E6F48">
        <w:rPr>
          <w:b w:val="0"/>
          <w:bCs/>
          <w:color w:val="auto"/>
          <w:sz w:val="24"/>
          <w:szCs w:val="24"/>
        </w:rPr>
        <w:t>3</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2319DB" w:rsidR="00E66558" w:rsidRDefault="00913DF9">
            <w:pPr>
              <w:pStyle w:val="TableRow"/>
            </w:pPr>
            <w:r>
              <w:t>Fulford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B5200E9" w:rsidR="00E66558" w:rsidRDefault="002178B3" w:rsidP="00913DF9">
            <w:pPr>
              <w:pStyle w:val="TableRow"/>
              <w:ind w:left="0"/>
            </w:pPr>
            <w:r>
              <w:t xml:space="preserve">1767 </w:t>
            </w:r>
            <w:r w:rsidR="00343288">
              <w:t>(including Sixth Form)</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572EDD2" w:rsidR="00E66558" w:rsidRDefault="00525E06" w:rsidP="00D80330">
            <w:pPr>
              <w:pStyle w:val="TableRow"/>
              <w:ind w:left="0"/>
            </w:pPr>
            <w:r>
              <w:t>10.3</w:t>
            </w:r>
            <w:r w:rsidR="00D80330" w:rsidRPr="00F94622">
              <w:t>% (</w:t>
            </w:r>
            <w:r w:rsidR="00343288">
              <w:t>1</w:t>
            </w:r>
            <w:r>
              <w:t>46</w:t>
            </w:r>
            <w:r w:rsidR="00913DF9" w:rsidRPr="00F94622">
              <w:t xml:space="preserve"> / </w:t>
            </w:r>
            <w:r>
              <w:t>1414</w:t>
            </w:r>
            <w:r w:rsidR="00913DF9" w:rsidRPr="00F94622">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E2C05C0" w:rsidR="00E66558" w:rsidRDefault="009D71E8" w:rsidP="00C1224B">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5616002" w:rsidR="00E66558" w:rsidRDefault="002178B3" w:rsidP="00343288">
            <w:pPr>
              <w:pStyle w:val="TableRow"/>
              <w:ind w:left="0"/>
            </w:pPr>
            <w:r>
              <w:rPr>
                <w:color w:val="auto"/>
              </w:rPr>
              <w:t>2025 - 2028</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D03FF28" w:rsidR="00E66558" w:rsidRDefault="001032E6">
            <w:pPr>
              <w:pStyle w:val="TableRow"/>
            </w:pPr>
            <w:r>
              <w:t xml:space="preserve">31 </w:t>
            </w:r>
            <w:r w:rsidR="003E1495">
              <w:t>December</w:t>
            </w:r>
            <w:r w:rsidR="004203AC">
              <w:t xml:space="preserve"> 202</w:t>
            </w:r>
            <w:r w:rsidR="002178B3">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E04DF51" w:rsidR="00E66558" w:rsidRDefault="001032E6">
            <w:pPr>
              <w:pStyle w:val="TableRow"/>
            </w:pPr>
            <w:r>
              <w:t xml:space="preserve">31 </w:t>
            </w:r>
            <w:r w:rsidR="002178B3">
              <w:t>December</w:t>
            </w:r>
            <w:r w:rsidR="00F06036">
              <w:t xml:space="preserve"> 202</w:t>
            </w:r>
            <w:r w:rsidR="002178B3">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229D825" w:rsidR="00E66558" w:rsidRDefault="002178B3">
            <w:pPr>
              <w:pStyle w:val="TableRow"/>
            </w:pPr>
            <w:r>
              <w:t>Russell Harris,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4F82E82" w:rsidR="00E66558" w:rsidRDefault="004203AC">
            <w:pPr>
              <w:pStyle w:val="TableRow"/>
            </w:pPr>
            <w:r>
              <w:t>Rachel Baroni</w:t>
            </w:r>
            <w:r w:rsidR="00DA7718">
              <w:t>, Assistant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03B27C6" w:rsidR="00E66558" w:rsidRDefault="009D729D">
            <w:pPr>
              <w:pStyle w:val="TableRow"/>
            </w:pPr>
            <w:r>
              <w:t xml:space="preserve">Claire </w:t>
            </w:r>
            <w:proofErr w:type="spellStart"/>
            <w:r>
              <w:t>Sculphor</w:t>
            </w:r>
            <w:proofErr w:type="spellEnd"/>
            <w:r w:rsidR="00DA7718">
              <w:t>, 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6E2AFF" w14:paraId="00C5AAC8" w14:textId="77777777" w:rsidTr="00C558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FB74C0F" w14:textId="77777777" w:rsidR="006E2AFF" w:rsidRDefault="006E2AFF" w:rsidP="00C5586D">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5EDD9B4" w14:textId="77777777" w:rsidR="006E2AFF" w:rsidRDefault="006E2AFF" w:rsidP="00C5586D">
            <w:pPr>
              <w:pStyle w:val="TableRow"/>
            </w:pPr>
            <w:r>
              <w:rPr>
                <w:b/>
              </w:rPr>
              <w:t>Amount</w:t>
            </w:r>
          </w:p>
        </w:tc>
      </w:tr>
      <w:tr w:rsidR="006E2AFF" w14:paraId="223B4F1D" w14:textId="77777777" w:rsidTr="00C558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56CB6" w14:textId="77777777" w:rsidR="006E2AFF" w:rsidRDefault="006E2AFF" w:rsidP="00C5586D">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427C" w14:textId="3F2356C9" w:rsidR="006E2AFF" w:rsidRDefault="006E2AFF" w:rsidP="00C5586D">
            <w:pPr>
              <w:pStyle w:val="TableRow"/>
              <w:ind w:left="0"/>
            </w:pPr>
            <w:r w:rsidRPr="00F06036">
              <w:t>£</w:t>
            </w:r>
            <w:bookmarkStart w:id="14" w:name="_Hlk185505194"/>
            <w:r w:rsidR="006469F3">
              <w:t>170,520</w:t>
            </w:r>
            <w:bookmarkEnd w:id="14"/>
          </w:p>
        </w:tc>
      </w:tr>
      <w:tr w:rsidR="006E2AFF" w14:paraId="46E58148" w14:textId="77777777" w:rsidTr="00C558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6DE16" w14:textId="77777777" w:rsidR="006E2AFF" w:rsidRDefault="006E2AFF" w:rsidP="00C5586D">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2DB57" w14:textId="77777777" w:rsidR="006E2AFF" w:rsidRDefault="006E2AFF" w:rsidP="00C5586D">
            <w:pPr>
              <w:pStyle w:val="TableRow"/>
            </w:pPr>
            <w:r>
              <w:t>£0</w:t>
            </w:r>
          </w:p>
        </w:tc>
      </w:tr>
      <w:tr w:rsidR="006E2AFF" w14:paraId="2A5C0EB4" w14:textId="77777777" w:rsidTr="00C5586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777A" w14:textId="77777777" w:rsidR="006E2AFF" w:rsidRDefault="006E2AFF" w:rsidP="00C5586D">
            <w:pPr>
              <w:pStyle w:val="TableRow"/>
              <w:rPr>
                <w:b/>
              </w:rPr>
            </w:pPr>
            <w:r>
              <w:rPr>
                <w:b/>
              </w:rPr>
              <w:t>Total budget for this academic year</w:t>
            </w:r>
          </w:p>
          <w:p w14:paraId="4CFD78BC" w14:textId="77777777" w:rsidR="006E2AFF" w:rsidRDefault="006E2AFF" w:rsidP="00C5586D">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D900D" w14:textId="79988CC0" w:rsidR="006E2AFF" w:rsidRDefault="006469F3" w:rsidP="00C5586D">
            <w:pPr>
              <w:pStyle w:val="TableRow"/>
            </w:pPr>
            <w:r w:rsidRPr="00F06036">
              <w:t>£</w:t>
            </w:r>
            <w:r>
              <w:t>170,520</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44051E">
        <w:trPr>
          <w:trHeight w:val="6572"/>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03F6" w14:textId="77777777" w:rsidR="00881B8B" w:rsidRDefault="00881B8B" w:rsidP="00881B8B">
            <w:pPr>
              <w:spacing w:after="0"/>
              <w:textAlignment w:val="baseline"/>
              <w:rPr>
                <w:rFonts w:cs="Arial"/>
                <w:sz w:val="20"/>
                <w:szCs w:val="22"/>
              </w:rPr>
            </w:pPr>
          </w:p>
          <w:p w14:paraId="4911BB89" w14:textId="2D99B4FE" w:rsidR="00D56975" w:rsidRDefault="000E62CE" w:rsidP="00CF35BF">
            <w:pPr>
              <w:spacing w:after="0"/>
              <w:jc w:val="both"/>
              <w:textAlignment w:val="baseline"/>
              <w:rPr>
                <w:rFonts w:cs="Arial"/>
                <w:sz w:val="22"/>
                <w:szCs w:val="22"/>
              </w:rPr>
            </w:pPr>
            <w:r>
              <w:rPr>
                <w:sz w:val="22"/>
                <w:szCs w:val="22"/>
              </w:rPr>
              <w:t>At Fulford School, w</w:t>
            </w:r>
            <w:r w:rsidR="00881B8B" w:rsidRPr="00881B8B">
              <w:rPr>
                <w:rFonts w:cs="Arial"/>
                <w:sz w:val="22"/>
                <w:szCs w:val="22"/>
              </w:rPr>
              <w:t xml:space="preserve">e aim to support each student to realise their potential to create their own future. In line with the school’s HEART values of honesty, empathy, ambition, resilience and tolerance, our ultimate objective is that all students will develop as individuals who are equipped to succeed as adults in the modern world. </w:t>
            </w:r>
          </w:p>
          <w:p w14:paraId="3E8ABF1A" w14:textId="5FB0E606" w:rsidR="0044051E" w:rsidRDefault="0044051E" w:rsidP="00CF35BF">
            <w:pPr>
              <w:spacing w:after="0"/>
              <w:jc w:val="both"/>
              <w:textAlignment w:val="baseline"/>
              <w:rPr>
                <w:rFonts w:cs="Arial"/>
                <w:sz w:val="22"/>
                <w:szCs w:val="22"/>
              </w:rPr>
            </w:pPr>
          </w:p>
          <w:p w14:paraId="05A3B6BC" w14:textId="77777777" w:rsidR="0044051E" w:rsidRPr="00881B8B" w:rsidRDefault="0044051E" w:rsidP="00CF35BF">
            <w:pPr>
              <w:spacing w:after="0"/>
              <w:jc w:val="both"/>
              <w:textAlignment w:val="baseline"/>
              <w:rPr>
                <w:rFonts w:cs="Arial"/>
                <w:sz w:val="22"/>
                <w:szCs w:val="22"/>
              </w:rPr>
            </w:pPr>
            <w:r>
              <w:rPr>
                <w:rFonts w:cs="Arial"/>
                <w:sz w:val="22"/>
                <w:szCs w:val="22"/>
              </w:rPr>
              <w:t>With a relatively small number of disadvantaged students in our school community, we are aware of the particular vulnerabilities this may place upon them, including potential marginalisation and lack of ‘voice’.</w:t>
            </w:r>
          </w:p>
          <w:p w14:paraId="207555BD" w14:textId="77777777" w:rsidR="0044051E" w:rsidRDefault="0044051E" w:rsidP="00CF35BF">
            <w:pPr>
              <w:spacing w:after="0"/>
              <w:jc w:val="both"/>
              <w:textAlignment w:val="baseline"/>
              <w:rPr>
                <w:rFonts w:cs="Arial"/>
                <w:sz w:val="22"/>
                <w:szCs w:val="22"/>
              </w:rPr>
            </w:pPr>
          </w:p>
          <w:p w14:paraId="1C48F783" w14:textId="1C605CEB" w:rsidR="00881B8B" w:rsidRPr="00881B8B" w:rsidRDefault="00881B8B" w:rsidP="00CF35BF">
            <w:pPr>
              <w:jc w:val="both"/>
              <w:rPr>
                <w:sz w:val="22"/>
                <w:szCs w:val="22"/>
              </w:rPr>
            </w:pPr>
            <w:r w:rsidRPr="00881B8B">
              <w:rPr>
                <w:sz w:val="22"/>
                <w:szCs w:val="22"/>
              </w:rPr>
              <w:t>We acknowledge that inequality impacts on students’ learning over time and that addressing disadvantage is the responsibility of all members of staff.</w:t>
            </w:r>
            <w:r w:rsidR="00845F3E">
              <w:rPr>
                <w:sz w:val="22"/>
                <w:szCs w:val="22"/>
              </w:rPr>
              <w:t xml:space="preserve"> As a community, we recognise </w:t>
            </w:r>
            <w:r w:rsidR="006A0816">
              <w:rPr>
                <w:sz w:val="22"/>
                <w:szCs w:val="22"/>
              </w:rPr>
              <w:t xml:space="preserve">the importance of building self-esteem and supporting students’ social, emotional and mental health, understanding </w:t>
            </w:r>
            <w:r w:rsidR="00845F3E">
              <w:rPr>
                <w:sz w:val="22"/>
                <w:szCs w:val="22"/>
              </w:rPr>
              <w:t>that socio-economic disadvantage may mean that students have negative perceptions of themselves as learners</w:t>
            </w:r>
            <w:r w:rsidR="006A0816">
              <w:rPr>
                <w:sz w:val="22"/>
                <w:szCs w:val="22"/>
              </w:rPr>
              <w:t xml:space="preserve">. </w:t>
            </w:r>
          </w:p>
          <w:p w14:paraId="364C0BCC" w14:textId="77777777" w:rsidR="00881B8B" w:rsidRPr="00881B8B" w:rsidRDefault="00881B8B" w:rsidP="00CF35BF">
            <w:pPr>
              <w:jc w:val="both"/>
              <w:rPr>
                <w:sz w:val="22"/>
                <w:szCs w:val="22"/>
              </w:rPr>
            </w:pPr>
            <w:r w:rsidRPr="00881B8B">
              <w:rPr>
                <w:sz w:val="22"/>
                <w:szCs w:val="22"/>
              </w:rPr>
              <w:t xml:space="preserve">Teaching and learning </w:t>
            </w:r>
            <w:proofErr w:type="gramStart"/>
            <w:r w:rsidRPr="00881B8B">
              <w:rPr>
                <w:sz w:val="22"/>
                <w:szCs w:val="22"/>
              </w:rPr>
              <w:t>is</w:t>
            </w:r>
            <w:proofErr w:type="gramEnd"/>
            <w:r w:rsidRPr="00881B8B">
              <w:rPr>
                <w:sz w:val="22"/>
                <w:szCs w:val="22"/>
              </w:rPr>
              <w:t xml:space="preserve"> at the heart of this strategy because effective teaching is the best lever for improving student and school outcomes.</w:t>
            </w:r>
          </w:p>
          <w:p w14:paraId="2A7D54E9" w14:textId="2B43BCEC" w:rsidR="00881B8B" w:rsidRPr="0044051E" w:rsidRDefault="00CF35BF" w:rsidP="00CF35BF">
            <w:pPr>
              <w:jc w:val="both"/>
              <w:rPr>
                <w:sz w:val="22"/>
                <w:szCs w:val="22"/>
              </w:rPr>
            </w:pPr>
            <w:r w:rsidRPr="00881B8B">
              <w:rPr>
                <w:sz w:val="22"/>
                <w:szCs w:val="22"/>
              </w:rPr>
              <w:t xml:space="preserve">The aim of this strategy is to </w:t>
            </w:r>
            <w:r>
              <w:rPr>
                <w:sz w:val="22"/>
                <w:szCs w:val="22"/>
              </w:rPr>
              <w:t xml:space="preserve">improve the experiences and outcomes </w:t>
            </w:r>
            <w:r w:rsidRPr="00881B8B">
              <w:rPr>
                <w:sz w:val="22"/>
                <w:szCs w:val="22"/>
              </w:rPr>
              <w:t xml:space="preserve">for disadvantaged students </w:t>
            </w:r>
            <w:r>
              <w:rPr>
                <w:sz w:val="22"/>
                <w:szCs w:val="22"/>
              </w:rPr>
              <w:t xml:space="preserve">by </w:t>
            </w:r>
            <w:r w:rsidRPr="00881B8B">
              <w:rPr>
                <w:sz w:val="22"/>
                <w:szCs w:val="22"/>
              </w:rPr>
              <w:t>identify</w:t>
            </w:r>
            <w:r>
              <w:rPr>
                <w:sz w:val="22"/>
                <w:szCs w:val="22"/>
              </w:rPr>
              <w:t>ing</w:t>
            </w:r>
            <w:r w:rsidRPr="00881B8B">
              <w:rPr>
                <w:sz w:val="22"/>
                <w:szCs w:val="22"/>
              </w:rPr>
              <w:t xml:space="preserve"> need</w:t>
            </w:r>
            <w:r>
              <w:rPr>
                <w:sz w:val="22"/>
                <w:szCs w:val="22"/>
              </w:rPr>
              <w:t xml:space="preserve"> and </w:t>
            </w:r>
            <w:r w:rsidRPr="00881B8B">
              <w:rPr>
                <w:sz w:val="22"/>
                <w:szCs w:val="22"/>
              </w:rPr>
              <w:t>develop</w:t>
            </w:r>
            <w:r>
              <w:rPr>
                <w:sz w:val="22"/>
                <w:szCs w:val="22"/>
              </w:rPr>
              <w:t>ing</w:t>
            </w:r>
            <w:r w:rsidRPr="00881B8B">
              <w:rPr>
                <w:sz w:val="22"/>
                <w:szCs w:val="22"/>
              </w:rPr>
              <w:t xml:space="preserve"> evidence-based </w:t>
            </w:r>
            <w:r>
              <w:rPr>
                <w:sz w:val="22"/>
                <w:szCs w:val="22"/>
              </w:rPr>
              <w:t xml:space="preserve">approaches to strategically address educational disadvantage. </w:t>
            </w:r>
            <w:r w:rsidR="00881B8B" w:rsidRPr="00881B8B">
              <w:rPr>
                <w:sz w:val="22"/>
                <w:szCs w:val="22"/>
              </w:rPr>
              <w:t>Our strategy is long-term and tiered, in line with Education Endowment Foundation guidance, viewing teaching and learning, academic intervention and wider approaches as interrelated.</w:t>
            </w:r>
          </w:p>
        </w:tc>
      </w:tr>
    </w:tbl>
    <w:p w14:paraId="2A7D54EB" w14:textId="77777777" w:rsidR="00E66558" w:rsidRDefault="009D71E8">
      <w:pPr>
        <w:pStyle w:val="Heading2"/>
        <w:spacing w:before="600"/>
      </w:pPr>
      <w:r>
        <w:t>Challenges</w:t>
      </w:r>
    </w:p>
    <w:p w14:paraId="2A7D54EC" w14:textId="03E23F46"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r w:rsidR="00197C25">
        <w:rPr>
          <w:color w:val="auto"/>
        </w:rPr>
        <w:t xml:space="preserve"> Our approach can be described as a </w:t>
      </w:r>
      <w:r w:rsidR="00197C25" w:rsidRPr="00197C25">
        <w:rPr>
          <w:b/>
          <w:bCs/>
          <w:color w:val="FF0000"/>
        </w:rPr>
        <w:t xml:space="preserve">relentless ambition for </w:t>
      </w:r>
      <w:r w:rsidR="00197C25">
        <w:rPr>
          <w:b/>
          <w:bCs/>
          <w:color w:val="FF0000"/>
        </w:rPr>
        <w:t xml:space="preserve">all </w:t>
      </w:r>
      <w:r w:rsidR="00197C25" w:rsidRPr="00197C25">
        <w:rPr>
          <w:b/>
          <w:bCs/>
          <w:color w:val="FF0000"/>
        </w:rPr>
        <w:t>students to belong, to attend and to achieve.</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F35BF">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CF35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34D3C" w14:textId="77777777" w:rsidR="00DC524B" w:rsidRDefault="009D71E8">
            <w:pPr>
              <w:pStyle w:val="TableRow"/>
              <w:rPr>
                <w:sz w:val="22"/>
                <w:szCs w:val="22"/>
              </w:rPr>
            </w:pPr>
            <w:r>
              <w:rPr>
                <w:sz w:val="22"/>
                <w:szCs w:val="22"/>
              </w:rPr>
              <w:t>1</w:t>
            </w:r>
            <w:r w:rsidR="00DC524B">
              <w:rPr>
                <w:sz w:val="22"/>
                <w:szCs w:val="22"/>
              </w:rPr>
              <w:t xml:space="preserve"> </w:t>
            </w:r>
          </w:p>
          <w:p w14:paraId="2A7D54F0" w14:textId="7C941695" w:rsidR="00E66558" w:rsidRPr="00DC524B" w:rsidRDefault="00DC524B">
            <w:pPr>
              <w:pStyle w:val="TableRow"/>
              <w:rPr>
                <w:sz w:val="20"/>
                <w:szCs w:val="20"/>
              </w:rPr>
            </w:pPr>
            <w:r w:rsidRPr="00DC524B">
              <w:rPr>
                <w:sz w:val="20"/>
                <w:szCs w:val="20"/>
              </w:rPr>
              <w:t>“To belong”</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188A" w14:textId="7B94603F" w:rsidR="00CF35BF" w:rsidRDefault="00CF35BF" w:rsidP="00CF35BF">
            <w:pPr>
              <w:pStyle w:val="TableRowCentered"/>
              <w:ind w:left="0"/>
              <w:jc w:val="left"/>
              <w:rPr>
                <w:b/>
                <w:bCs/>
                <w:iCs/>
                <w:sz w:val="22"/>
              </w:rPr>
            </w:pPr>
            <w:r w:rsidRPr="00BE4879">
              <w:rPr>
                <w:b/>
                <w:bCs/>
                <w:iCs/>
                <w:sz w:val="22"/>
              </w:rPr>
              <w:t xml:space="preserve">Ensuring disadvantaged students </w:t>
            </w:r>
            <w:r>
              <w:rPr>
                <w:b/>
                <w:bCs/>
                <w:iCs/>
                <w:sz w:val="22"/>
              </w:rPr>
              <w:t>are involved</w:t>
            </w:r>
            <w:r w:rsidRPr="00BE4879">
              <w:rPr>
                <w:b/>
                <w:bCs/>
                <w:iCs/>
                <w:sz w:val="22"/>
              </w:rPr>
              <w:t xml:space="preserve"> in all aspects of our community</w:t>
            </w:r>
            <w:r>
              <w:rPr>
                <w:b/>
                <w:bCs/>
                <w:iCs/>
                <w:sz w:val="22"/>
              </w:rPr>
              <w:t>, experiencing success and developing a secure sense of belonging.</w:t>
            </w:r>
          </w:p>
          <w:p w14:paraId="2A7D54F1" w14:textId="4866EB93" w:rsidR="00D52BE7" w:rsidRPr="00DC524B" w:rsidRDefault="00FE53E4" w:rsidP="00D52BE7">
            <w:pPr>
              <w:pStyle w:val="TableRowCentered"/>
              <w:ind w:left="0"/>
              <w:jc w:val="left"/>
              <w:rPr>
                <w:iCs/>
                <w:sz w:val="22"/>
              </w:rPr>
            </w:pPr>
            <w:r>
              <w:rPr>
                <w:iCs/>
                <w:sz w:val="22"/>
              </w:rPr>
              <w:t>We place value on all students in our community, recognising both their potential and the contribution they can make. However, a</w:t>
            </w:r>
            <w:r w:rsidR="00CF35BF">
              <w:rPr>
                <w:iCs/>
                <w:sz w:val="22"/>
              </w:rPr>
              <w:t>ttendance data from extra-curricular clubs and low</w:t>
            </w:r>
            <w:r>
              <w:rPr>
                <w:iCs/>
                <w:sz w:val="22"/>
              </w:rPr>
              <w:t>er</w:t>
            </w:r>
            <w:r w:rsidR="00CF35BF">
              <w:rPr>
                <w:iCs/>
                <w:sz w:val="22"/>
              </w:rPr>
              <w:t xml:space="preserve"> levels of participation in student leadership roles indicate that disadvantaged students’ ability to engage with and effect change upon all aspects of the school community is more limited than non-disadvantaged students. This points to the possibility that disadvantaged students may feel that they are on the margins of the Fulford School community.</w:t>
            </w:r>
            <w:r w:rsidR="008A04B4">
              <w:rPr>
                <w:iCs/>
                <w:sz w:val="22"/>
              </w:rPr>
              <w:t xml:space="preserve"> </w:t>
            </w:r>
          </w:p>
        </w:tc>
      </w:tr>
      <w:tr w:rsidR="00DC524B" w14:paraId="6B27711D" w14:textId="77777777" w:rsidTr="00CF35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7CF1" w14:textId="2869D0F1" w:rsidR="00DC524B" w:rsidRDefault="00DC524B" w:rsidP="00DC524B">
            <w:pPr>
              <w:pStyle w:val="TableRow"/>
              <w:rPr>
                <w:sz w:val="22"/>
                <w:szCs w:val="22"/>
              </w:rPr>
            </w:pPr>
            <w:r>
              <w:rPr>
                <w:sz w:val="22"/>
                <w:szCs w:val="22"/>
              </w:rPr>
              <w:t xml:space="preserve">2 </w:t>
            </w:r>
          </w:p>
          <w:p w14:paraId="730E4014" w14:textId="50C31CDD" w:rsidR="00DC524B" w:rsidRDefault="00DC524B" w:rsidP="00DC524B">
            <w:pPr>
              <w:pStyle w:val="TableRow"/>
              <w:rPr>
                <w:sz w:val="22"/>
                <w:szCs w:val="22"/>
              </w:rPr>
            </w:pPr>
            <w:r w:rsidRPr="00DC524B">
              <w:rPr>
                <w:sz w:val="20"/>
                <w:szCs w:val="20"/>
              </w:rPr>
              <w:t>“To attend”</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73907" w14:textId="77777777" w:rsidR="00DC524B" w:rsidRPr="00DC7760" w:rsidRDefault="00DC524B" w:rsidP="00DC524B">
            <w:pPr>
              <w:pStyle w:val="TableRowCentered"/>
              <w:ind w:left="0"/>
              <w:jc w:val="left"/>
              <w:rPr>
                <w:b/>
                <w:bCs/>
                <w:sz w:val="22"/>
                <w:szCs w:val="22"/>
              </w:rPr>
            </w:pPr>
            <w:r w:rsidRPr="00DC7760">
              <w:rPr>
                <w:b/>
                <w:bCs/>
                <w:sz w:val="22"/>
                <w:szCs w:val="22"/>
              </w:rPr>
              <w:t>Supporting the attendance of disadvantaged students</w:t>
            </w:r>
          </w:p>
          <w:p w14:paraId="4B5614A3" w14:textId="0EA76319" w:rsidR="008A04B4" w:rsidRDefault="00197C25" w:rsidP="00DC524B">
            <w:pPr>
              <w:pStyle w:val="TableRowCentered"/>
              <w:ind w:left="0"/>
              <w:jc w:val="left"/>
              <w:rPr>
                <w:iCs/>
                <w:sz w:val="22"/>
              </w:rPr>
            </w:pPr>
            <w:r>
              <w:rPr>
                <w:iCs/>
                <w:sz w:val="22"/>
              </w:rPr>
              <w:t>Absence from school impacts on students’ academic, social and personal development and can increase social isolation.</w:t>
            </w:r>
          </w:p>
          <w:p w14:paraId="04BD3F06" w14:textId="430A6B18" w:rsidR="00DC524B" w:rsidRPr="00197C25" w:rsidRDefault="00DC524B" w:rsidP="00DC524B">
            <w:pPr>
              <w:pStyle w:val="TableRowCentered"/>
              <w:ind w:left="0"/>
              <w:jc w:val="left"/>
              <w:rPr>
                <w:iCs/>
                <w:sz w:val="22"/>
              </w:rPr>
            </w:pPr>
            <w:r>
              <w:rPr>
                <w:iCs/>
                <w:sz w:val="22"/>
              </w:rPr>
              <w:t>Our attendance data shows that attendance for disadvantaged students has been lower than that of non-disadvantaged students.</w:t>
            </w:r>
            <w:r w:rsidR="00197C25">
              <w:rPr>
                <w:iCs/>
                <w:sz w:val="22"/>
              </w:rPr>
              <w:t xml:space="preserve"> Rates of persistent absence are also higher for disadvantaged students.</w:t>
            </w:r>
            <w:r>
              <w:rPr>
                <w:iCs/>
                <w:sz w:val="22"/>
              </w:rPr>
              <w:t xml:space="preserve"> This is reflective of wider </w:t>
            </w:r>
            <w:r w:rsidR="00197C25">
              <w:rPr>
                <w:iCs/>
                <w:sz w:val="22"/>
              </w:rPr>
              <w:t xml:space="preserve">long-term </w:t>
            </w:r>
            <w:r>
              <w:rPr>
                <w:iCs/>
                <w:sz w:val="22"/>
              </w:rPr>
              <w:t xml:space="preserve">trends at </w:t>
            </w:r>
            <w:r>
              <w:rPr>
                <w:iCs/>
                <w:sz w:val="22"/>
                <w:szCs w:val="22"/>
              </w:rPr>
              <w:t xml:space="preserve">both local and national level. </w:t>
            </w:r>
          </w:p>
        </w:tc>
      </w:tr>
      <w:tr w:rsidR="0052016D" w14:paraId="0C734536" w14:textId="77777777" w:rsidTr="00CF35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B1EB" w14:textId="489BAB5D" w:rsidR="0052016D" w:rsidRDefault="00DC524B">
            <w:pPr>
              <w:pStyle w:val="TableRow"/>
              <w:rPr>
                <w:sz w:val="22"/>
                <w:szCs w:val="22"/>
              </w:rPr>
            </w:pPr>
            <w:r>
              <w:rPr>
                <w:sz w:val="22"/>
                <w:szCs w:val="22"/>
              </w:rPr>
              <w:t>3</w:t>
            </w:r>
          </w:p>
          <w:p w14:paraId="2DCD8645" w14:textId="2880847F" w:rsidR="00DC524B" w:rsidRPr="00DC524B" w:rsidRDefault="00DC524B">
            <w:pPr>
              <w:pStyle w:val="TableRow"/>
              <w:rPr>
                <w:sz w:val="20"/>
                <w:szCs w:val="20"/>
              </w:rPr>
            </w:pPr>
            <w:r w:rsidRPr="00DC524B">
              <w:rPr>
                <w:sz w:val="20"/>
                <w:szCs w:val="20"/>
              </w:rPr>
              <w:t>“To achieve”</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8C98C" w14:textId="3957402F" w:rsidR="00CF35BF" w:rsidRPr="00D52BE7" w:rsidRDefault="00CF35BF" w:rsidP="00CF35BF">
            <w:pPr>
              <w:pStyle w:val="TableRowCentered"/>
              <w:ind w:left="0"/>
              <w:jc w:val="left"/>
              <w:rPr>
                <w:b/>
                <w:bCs/>
                <w:iCs/>
                <w:sz w:val="22"/>
                <w:szCs w:val="22"/>
              </w:rPr>
            </w:pPr>
            <w:r w:rsidRPr="00D52BE7">
              <w:rPr>
                <w:b/>
                <w:bCs/>
                <w:iCs/>
                <w:sz w:val="22"/>
                <w:szCs w:val="22"/>
              </w:rPr>
              <w:t>Supporting the academic attainment of disadvantaged students</w:t>
            </w:r>
            <w:r>
              <w:rPr>
                <w:b/>
                <w:bCs/>
                <w:iCs/>
                <w:sz w:val="22"/>
                <w:szCs w:val="22"/>
              </w:rPr>
              <w:t>, with a particular focus on English and Maths.</w:t>
            </w:r>
          </w:p>
          <w:p w14:paraId="1FD71F17" w14:textId="403DF956" w:rsidR="008F4A12" w:rsidRPr="008F4A12" w:rsidRDefault="008F4A12" w:rsidP="00CF35BF">
            <w:pPr>
              <w:pStyle w:val="TableRowCentered"/>
              <w:ind w:left="0"/>
              <w:jc w:val="left"/>
              <w:rPr>
                <w:b/>
                <w:bCs/>
                <w:iCs/>
                <w:sz w:val="22"/>
                <w:szCs w:val="22"/>
              </w:rPr>
            </w:pPr>
            <w:r>
              <w:rPr>
                <w:iCs/>
                <w:sz w:val="22"/>
                <w:szCs w:val="22"/>
              </w:rPr>
              <w:t xml:space="preserve">Recent research from York and Leeds universities shows that GCSE outcomes are a powerful predictor of future life outcomes, particularly for students from disadvantaged backgrounds. Many aspects of life are impacted such as career, income, and mental wellbeing into their mid-20s. </w:t>
            </w:r>
            <w:r w:rsidRPr="008F4A12">
              <w:rPr>
                <w:iCs/>
                <w:sz w:val="22"/>
                <w:szCs w:val="22"/>
              </w:rPr>
              <w:t>“Our findings suggest that if you are from an under-resourced background your grades matter the most</w:t>
            </w:r>
            <w:r>
              <w:rPr>
                <w:iCs/>
                <w:sz w:val="22"/>
                <w:szCs w:val="22"/>
              </w:rPr>
              <w:t>”</w:t>
            </w:r>
            <w:r w:rsidR="00783E37">
              <w:rPr>
                <w:iCs/>
                <w:sz w:val="22"/>
                <w:szCs w:val="22"/>
              </w:rPr>
              <w:t>.</w:t>
            </w:r>
            <w:r>
              <w:rPr>
                <w:iCs/>
                <w:sz w:val="22"/>
                <w:szCs w:val="22"/>
              </w:rPr>
              <w:t xml:space="preserve"> </w:t>
            </w:r>
            <w:r w:rsidR="00783E37" w:rsidRPr="00783E37">
              <w:rPr>
                <w:i/>
                <w:sz w:val="16"/>
                <w:szCs w:val="16"/>
              </w:rPr>
              <w:t xml:space="preserve">Starr, Alexandra &amp; </w:t>
            </w:r>
            <w:proofErr w:type="spellStart"/>
            <w:r w:rsidR="00783E37" w:rsidRPr="00783E37">
              <w:rPr>
                <w:i/>
                <w:sz w:val="16"/>
                <w:szCs w:val="16"/>
              </w:rPr>
              <w:t>Faatimah</w:t>
            </w:r>
            <w:proofErr w:type="spellEnd"/>
            <w:r w:rsidR="00783E37" w:rsidRPr="00783E37">
              <w:rPr>
                <w:i/>
                <w:sz w:val="16"/>
                <w:szCs w:val="16"/>
              </w:rPr>
              <w:t xml:space="preserve"> Haider, Zainab &amp; Stumm, Sophie. (2024). Do School Grades Matter for Growing Up? Testing the Predictive Validity of School Performance for Outcomes in Emerging Adulthood.</w:t>
            </w:r>
          </w:p>
          <w:p w14:paraId="40A4C701" w14:textId="01BB4F50" w:rsidR="00BE4879" w:rsidRPr="0052016D" w:rsidRDefault="00CF35BF" w:rsidP="00CF35BF">
            <w:pPr>
              <w:pStyle w:val="TableRowCentered"/>
              <w:ind w:left="0"/>
              <w:jc w:val="left"/>
              <w:rPr>
                <w:iCs/>
                <w:sz w:val="22"/>
                <w:szCs w:val="22"/>
              </w:rPr>
            </w:pPr>
            <w:r>
              <w:rPr>
                <w:iCs/>
                <w:sz w:val="22"/>
                <w:szCs w:val="22"/>
              </w:rPr>
              <w:t xml:space="preserve">While disadvantaged students attain well at Fulford, with stronger GCSE outcomes than the national average, results data indicates that the progress of disadvantaged students is lower that non-disadvantaged students within the school. </w:t>
            </w:r>
            <w:r w:rsidR="00DC524B">
              <w:rPr>
                <w:iCs/>
                <w:sz w:val="22"/>
                <w:szCs w:val="22"/>
              </w:rPr>
              <w:t>This</w:t>
            </w:r>
            <w:r>
              <w:rPr>
                <w:iCs/>
                <w:sz w:val="22"/>
                <w:szCs w:val="22"/>
              </w:rPr>
              <w:t xml:space="preserve"> widening p</w:t>
            </w:r>
            <w:r w:rsidRPr="00EC362B">
              <w:rPr>
                <w:iCs/>
                <w:sz w:val="22"/>
                <w:szCs w:val="22"/>
              </w:rPr>
              <w:t>erformance gap at Key Stage 4</w:t>
            </w:r>
            <w:r w:rsidR="00DC524B">
              <w:rPr>
                <w:iCs/>
                <w:sz w:val="22"/>
                <w:szCs w:val="22"/>
              </w:rPr>
              <w:t xml:space="preserve"> is </w:t>
            </w:r>
            <w:r>
              <w:rPr>
                <w:iCs/>
                <w:sz w:val="22"/>
                <w:szCs w:val="22"/>
              </w:rPr>
              <w:t>reflect</w:t>
            </w:r>
            <w:r w:rsidR="00DC524B">
              <w:rPr>
                <w:iCs/>
                <w:sz w:val="22"/>
                <w:szCs w:val="22"/>
              </w:rPr>
              <w:t>ive of</w:t>
            </w:r>
            <w:r>
              <w:rPr>
                <w:iCs/>
                <w:sz w:val="22"/>
                <w:szCs w:val="22"/>
              </w:rPr>
              <w:t xml:space="preserve"> a wider</w:t>
            </w:r>
            <w:r w:rsidR="00DC524B">
              <w:rPr>
                <w:iCs/>
                <w:sz w:val="22"/>
                <w:szCs w:val="22"/>
              </w:rPr>
              <w:t xml:space="preserve"> context at both local and</w:t>
            </w:r>
            <w:r>
              <w:rPr>
                <w:iCs/>
                <w:sz w:val="22"/>
                <w:szCs w:val="22"/>
              </w:rPr>
              <w:t xml:space="preserve"> national </w:t>
            </w:r>
            <w:r w:rsidR="00DC524B">
              <w:rPr>
                <w:iCs/>
                <w:sz w:val="22"/>
                <w:szCs w:val="22"/>
              </w:rPr>
              <w:t>level</w:t>
            </w:r>
            <w:r>
              <w:rPr>
                <w:iCs/>
                <w:sz w:val="22"/>
                <w:szCs w:val="22"/>
              </w:rPr>
              <w:t xml:space="preserve">. </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AC06E0"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C06E0" w:rsidRDefault="009D71E8">
            <w:pPr>
              <w:pStyle w:val="TableHeader"/>
              <w:jc w:val="left"/>
              <w:rPr>
                <w:sz w:val="22"/>
                <w:szCs w:val="22"/>
              </w:rPr>
            </w:pPr>
            <w:r w:rsidRPr="00AC06E0">
              <w:rPr>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C06E0" w:rsidRDefault="009D71E8">
            <w:pPr>
              <w:pStyle w:val="TableHeader"/>
              <w:jc w:val="left"/>
              <w:rPr>
                <w:sz w:val="22"/>
                <w:szCs w:val="22"/>
              </w:rPr>
            </w:pPr>
            <w:r w:rsidRPr="00AC06E0">
              <w:rPr>
                <w:sz w:val="22"/>
                <w:szCs w:val="22"/>
              </w:rPr>
              <w:t>Success criteria</w:t>
            </w:r>
          </w:p>
        </w:tc>
      </w:tr>
      <w:tr w:rsidR="00751DAD" w:rsidRPr="00AC06E0" w14:paraId="1C2B457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C06A" w14:textId="478117C8" w:rsidR="00751DAD" w:rsidRPr="00AC06E0" w:rsidRDefault="00751DAD" w:rsidP="00751DAD">
            <w:pPr>
              <w:pStyle w:val="TableRow"/>
              <w:rPr>
                <w:sz w:val="22"/>
                <w:szCs w:val="22"/>
              </w:rPr>
            </w:pPr>
            <w:r w:rsidRPr="00AC06E0">
              <w:rPr>
                <w:sz w:val="22"/>
                <w:szCs w:val="22"/>
              </w:rPr>
              <w:t>To improve the participation of disadvantaged students in the full life of the school, including representation in student leadership</w:t>
            </w:r>
            <w:r w:rsidR="00783E37">
              <w:rPr>
                <w:sz w:val="22"/>
                <w:szCs w:val="22"/>
              </w:rPr>
              <w:t xml:space="preserve"> </w:t>
            </w:r>
            <w:r w:rsidR="00783E37" w:rsidRPr="00783E37">
              <w:rPr>
                <w:sz w:val="22"/>
                <w:szCs w:val="22"/>
              </w:rPr>
              <w:t>that the voices of disadvantaged students contribute</w:t>
            </w:r>
            <w:r w:rsidR="00783E37">
              <w:rPr>
                <w:sz w:val="22"/>
                <w:szCs w:val="22"/>
              </w:rPr>
              <w:t xml:space="preserve"> </w:t>
            </w:r>
            <w:r w:rsidR="00783E37" w:rsidRPr="00783E37">
              <w:rPr>
                <w:sz w:val="22"/>
                <w:szCs w:val="22"/>
              </w:rPr>
              <w:t>to shaping our school community.</w:t>
            </w:r>
          </w:p>
          <w:p w14:paraId="127AA7A2" w14:textId="77777777" w:rsidR="00751DAD" w:rsidRPr="00AC06E0" w:rsidRDefault="00751DAD" w:rsidP="00D13144">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C2B9" w14:textId="77777777" w:rsidR="00751DAD" w:rsidRDefault="00751DAD" w:rsidP="00783E37">
            <w:pPr>
              <w:pStyle w:val="TableRowCentered"/>
              <w:jc w:val="left"/>
              <w:rPr>
                <w:sz w:val="22"/>
                <w:szCs w:val="22"/>
              </w:rPr>
            </w:pPr>
            <w:r w:rsidRPr="00783E37">
              <w:rPr>
                <w:sz w:val="22"/>
                <w:szCs w:val="22"/>
              </w:rPr>
              <w:t xml:space="preserve">By the end of our current plan in December 2025, attendance at extra curricula activities and participation in student leadership activities are in line with non-PP students </w:t>
            </w:r>
          </w:p>
          <w:p w14:paraId="067D9E37" w14:textId="0622A9F0" w:rsidR="00783E37" w:rsidRPr="00783E37" w:rsidRDefault="00783E37" w:rsidP="00783E37">
            <w:pPr>
              <w:pStyle w:val="TableRowCentered"/>
              <w:jc w:val="left"/>
              <w:rPr>
                <w:sz w:val="22"/>
                <w:szCs w:val="22"/>
                <w:highlight w:val="yellow"/>
              </w:rPr>
            </w:pPr>
            <w:r w:rsidRPr="00783E37">
              <w:rPr>
                <w:sz w:val="22"/>
                <w:szCs w:val="22"/>
              </w:rPr>
              <w:t xml:space="preserve">Student voice feedback </w:t>
            </w:r>
            <w:r>
              <w:rPr>
                <w:sz w:val="22"/>
                <w:szCs w:val="22"/>
              </w:rPr>
              <w:t>has</w:t>
            </w:r>
            <w:r w:rsidRPr="00783E37">
              <w:rPr>
                <w:sz w:val="22"/>
                <w:szCs w:val="22"/>
              </w:rPr>
              <w:t xml:space="preserve"> result</w:t>
            </w:r>
            <w:r>
              <w:rPr>
                <w:sz w:val="22"/>
                <w:szCs w:val="22"/>
              </w:rPr>
              <w:t>ed</w:t>
            </w:r>
            <w:r w:rsidRPr="00783E37">
              <w:rPr>
                <w:sz w:val="22"/>
                <w:szCs w:val="22"/>
              </w:rPr>
              <w:t xml:space="preserve"> in changes to policies and practice.</w:t>
            </w:r>
          </w:p>
        </w:tc>
      </w:tr>
      <w:tr w:rsidR="00F64FB8" w:rsidRPr="00AC06E0" w14:paraId="1FAC2C2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3A20" w14:textId="2C5BAA15" w:rsidR="00F64FB8" w:rsidRPr="00AC06E0" w:rsidRDefault="00F64FB8" w:rsidP="00F64FB8">
            <w:pPr>
              <w:pStyle w:val="TableRow"/>
              <w:ind w:left="0"/>
              <w:rPr>
                <w:i/>
                <w:iCs/>
                <w:sz w:val="22"/>
                <w:szCs w:val="22"/>
              </w:rPr>
            </w:pPr>
            <w:r w:rsidRPr="00AC06E0">
              <w:rPr>
                <w:sz w:val="22"/>
                <w:szCs w:val="22"/>
              </w:rPr>
              <w:t>To achieve and sustain improved attendance for all students, particularly our disadvantaged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8A332" w14:textId="41FDCFDA" w:rsidR="00F64FB8" w:rsidRPr="00AC06E0" w:rsidRDefault="00751DAD" w:rsidP="00F64FB8">
            <w:pPr>
              <w:pStyle w:val="TableRowCentered"/>
              <w:jc w:val="left"/>
              <w:rPr>
                <w:sz w:val="22"/>
                <w:szCs w:val="22"/>
              </w:rPr>
            </w:pPr>
            <w:r w:rsidRPr="00AC06E0">
              <w:rPr>
                <w:sz w:val="22"/>
                <w:szCs w:val="22"/>
              </w:rPr>
              <w:t xml:space="preserve">By the end of our current plan in </w:t>
            </w:r>
            <w:r>
              <w:rPr>
                <w:sz w:val="22"/>
                <w:szCs w:val="22"/>
              </w:rPr>
              <w:t xml:space="preserve">December </w:t>
            </w:r>
            <w:r w:rsidRPr="00AC06E0">
              <w:rPr>
                <w:sz w:val="22"/>
                <w:szCs w:val="22"/>
              </w:rPr>
              <w:t>202</w:t>
            </w:r>
            <w:r>
              <w:rPr>
                <w:sz w:val="22"/>
                <w:szCs w:val="22"/>
              </w:rPr>
              <w:t>5</w:t>
            </w:r>
            <w:r w:rsidRPr="00AC06E0">
              <w:rPr>
                <w:sz w:val="22"/>
                <w:szCs w:val="22"/>
              </w:rPr>
              <w:t xml:space="preserve">, </w:t>
            </w:r>
            <w:r w:rsidR="00807FB6" w:rsidRPr="00AC06E0">
              <w:rPr>
                <w:sz w:val="22"/>
                <w:szCs w:val="22"/>
              </w:rPr>
              <w:t>s</w:t>
            </w:r>
            <w:r w:rsidR="00F64FB8" w:rsidRPr="00AC06E0">
              <w:rPr>
                <w:sz w:val="22"/>
                <w:szCs w:val="22"/>
              </w:rPr>
              <w:t xml:space="preserve">ustained high attendance </w:t>
            </w:r>
            <w:r w:rsidR="00807FB6" w:rsidRPr="00AC06E0">
              <w:rPr>
                <w:sz w:val="22"/>
                <w:szCs w:val="22"/>
              </w:rPr>
              <w:t xml:space="preserve">will be </w:t>
            </w:r>
            <w:r w:rsidR="00F64FB8" w:rsidRPr="00AC06E0">
              <w:rPr>
                <w:sz w:val="22"/>
                <w:szCs w:val="22"/>
              </w:rPr>
              <w:t>demonstrated by:</w:t>
            </w:r>
          </w:p>
          <w:p w14:paraId="21B99E84" w14:textId="427B36A5" w:rsidR="00F64FB8" w:rsidRPr="00AC06E0" w:rsidRDefault="00F64FB8" w:rsidP="00F64FB8">
            <w:pPr>
              <w:pStyle w:val="TableRowCentered"/>
              <w:numPr>
                <w:ilvl w:val="0"/>
                <w:numId w:val="18"/>
              </w:numPr>
              <w:jc w:val="left"/>
              <w:rPr>
                <w:sz w:val="22"/>
                <w:szCs w:val="22"/>
              </w:rPr>
            </w:pPr>
            <w:r w:rsidRPr="00AC06E0">
              <w:rPr>
                <w:sz w:val="22"/>
                <w:szCs w:val="22"/>
              </w:rPr>
              <w:t xml:space="preserve">The overall absence rate for all students being no more than </w:t>
            </w:r>
            <w:r w:rsidR="00D605FB" w:rsidRPr="00AC06E0">
              <w:rPr>
                <w:sz w:val="22"/>
                <w:szCs w:val="22"/>
              </w:rPr>
              <w:t>3</w:t>
            </w:r>
            <w:r w:rsidRPr="00AC06E0">
              <w:rPr>
                <w:sz w:val="22"/>
                <w:szCs w:val="22"/>
              </w:rPr>
              <w:t xml:space="preserve">% and </w:t>
            </w:r>
            <w:r w:rsidR="00CD168C" w:rsidRPr="00AC06E0">
              <w:rPr>
                <w:sz w:val="22"/>
                <w:szCs w:val="22"/>
              </w:rPr>
              <w:t>a reduction in the gap between disadvantaged and non-disadvantaged students</w:t>
            </w:r>
          </w:p>
          <w:p w14:paraId="2EAF8C75" w14:textId="647A062A" w:rsidR="00F64FB8" w:rsidRPr="00AC06E0" w:rsidRDefault="00F64FB8" w:rsidP="00D605FB">
            <w:pPr>
              <w:pStyle w:val="TableRowCentered"/>
              <w:numPr>
                <w:ilvl w:val="0"/>
                <w:numId w:val="18"/>
              </w:numPr>
              <w:jc w:val="left"/>
              <w:rPr>
                <w:sz w:val="22"/>
                <w:szCs w:val="22"/>
              </w:rPr>
            </w:pPr>
            <w:r w:rsidRPr="00AC06E0">
              <w:rPr>
                <w:sz w:val="22"/>
                <w:szCs w:val="22"/>
              </w:rPr>
              <w:t xml:space="preserve">The percentage of pupils who are persistently absent being below </w:t>
            </w:r>
            <w:r w:rsidR="00D605FB" w:rsidRPr="00AC06E0">
              <w:rPr>
                <w:sz w:val="22"/>
                <w:szCs w:val="22"/>
              </w:rPr>
              <w:t>8%</w:t>
            </w:r>
            <w:r w:rsidRPr="00AC06E0">
              <w:rPr>
                <w:sz w:val="22"/>
                <w:szCs w:val="22"/>
              </w:rPr>
              <w:t xml:space="preserve"> and </w:t>
            </w:r>
            <w:r w:rsidR="00CD168C" w:rsidRPr="00AC06E0">
              <w:rPr>
                <w:sz w:val="22"/>
                <w:szCs w:val="22"/>
              </w:rPr>
              <w:t xml:space="preserve">a reduction in the gap between </w:t>
            </w:r>
            <w:r w:rsidRPr="00AC06E0">
              <w:rPr>
                <w:sz w:val="22"/>
                <w:szCs w:val="22"/>
              </w:rPr>
              <w:t>disadvantaged</w:t>
            </w:r>
            <w:r w:rsidR="00CD168C" w:rsidRPr="00AC06E0">
              <w:rPr>
                <w:sz w:val="22"/>
                <w:szCs w:val="22"/>
              </w:rPr>
              <w:t xml:space="preserve"> and non-disadvantaged</w:t>
            </w:r>
            <w:r w:rsidRPr="00AC06E0">
              <w:rPr>
                <w:sz w:val="22"/>
                <w:szCs w:val="22"/>
              </w:rPr>
              <w:t xml:space="preserve"> students </w:t>
            </w:r>
          </w:p>
        </w:tc>
      </w:tr>
      <w:tr w:rsidR="00783E37" w:rsidRPr="00AC06E0" w14:paraId="17611A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055B" w14:textId="72B15EA7" w:rsidR="00783E37" w:rsidRPr="00AC06E0" w:rsidRDefault="00783E37" w:rsidP="00783E37">
            <w:pPr>
              <w:pStyle w:val="TableRow"/>
              <w:ind w:left="0"/>
              <w:rPr>
                <w:sz w:val="22"/>
                <w:szCs w:val="22"/>
              </w:rPr>
            </w:pPr>
            <w:r w:rsidRPr="00AC06E0">
              <w:rPr>
                <w:sz w:val="22"/>
                <w:szCs w:val="22"/>
              </w:rPr>
              <w:t xml:space="preserve">To improve </w:t>
            </w:r>
            <w:r>
              <w:rPr>
                <w:sz w:val="22"/>
                <w:szCs w:val="22"/>
              </w:rPr>
              <w:t>the academic progress of</w:t>
            </w:r>
            <w:r w:rsidRPr="00AC06E0">
              <w:rPr>
                <w:sz w:val="22"/>
                <w:szCs w:val="22"/>
              </w:rPr>
              <w:t xml:space="preserve"> disadvantaged students </w:t>
            </w:r>
            <w:r>
              <w:rPr>
                <w:sz w:val="22"/>
                <w:szCs w:val="22"/>
              </w:rPr>
              <w:t>through</w:t>
            </w:r>
            <w:r w:rsidRPr="00AC06E0">
              <w:rPr>
                <w:sz w:val="22"/>
                <w:szCs w:val="22"/>
              </w:rPr>
              <w:t xml:space="preserve"> the </w:t>
            </w:r>
            <w:r>
              <w:rPr>
                <w:sz w:val="22"/>
                <w:szCs w:val="22"/>
              </w:rPr>
              <w:t xml:space="preserve">GCSE </w:t>
            </w:r>
            <w:r w:rsidRPr="00AC06E0">
              <w:rPr>
                <w:sz w:val="22"/>
                <w:szCs w:val="22"/>
              </w:rPr>
              <w:t>curriculum, with a particular focus on English and Maths</w:t>
            </w:r>
            <w:r>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ACE15" w14:textId="68C3E0D2" w:rsidR="00783E37" w:rsidRDefault="00783E37" w:rsidP="00783E37">
            <w:pPr>
              <w:pStyle w:val="TableRowCentered"/>
              <w:jc w:val="left"/>
              <w:rPr>
                <w:sz w:val="22"/>
                <w:szCs w:val="22"/>
              </w:rPr>
            </w:pPr>
            <w:r w:rsidRPr="00AC06E0">
              <w:rPr>
                <w:sz w:val="22"/>
                <w:szCs w:val="22"/>
              </w:rPr>
              <w:t xml:space="preserve">By the end of our current plan in </w:t>
            </w:r>
            <w:r>
              <w:rPr>
                <w:sz w:val="22"/>
                <w:szCs w:val="22"/>
              </w:rPr>
              <w:t xml:space="preserve">December </w:t>
            </w:r>
            <w:r w:rsidRPr="00AC06E0">
              <w:rPr>
                <w:sz w:val="22"/>
                <w:szCs w:val="22"/>
              </w:rPr>
              <w:t>202</w:t>
            </w:r>
            <w:r>
              <w:rPr>
                <w:sz w:val="22"/>
                <w:szCs w:val="22"/>
              </w:rPr>
              <w:t>5</w:t>
            </w:r>
            <w:r w:rsidRPr="00AC06E0">
              <w:rPr>
                <w:sz w:val="22"/>
                <w:szCs w:val="22"/>
              </w:rPr>
              <w:t xml:space="preserve">, </w:t>
            </w:r>
            <w:r>
              <w:rPr>
                <w:sz w:val="22"/>
                <w:szCs w:val="22"/>
              </w:rPr>
              <w:t>GCSE attainment</w:t>
            </w:r>
            <w:r w:rsidRPr="00AC06E0">
              <w:rPr>
                <w:sz w:val="22"/>
                <w:szCs w:val="22"/>
              </w:rPr>
              <w:t xml:space="preserve"> scores show PP students’ outcomes are in line with </w:t>
            </w:r>
            <w:r w:rsidRPr="004E00F2">
              <w:rPr>
                <w:b/>
                <w:bCs/>
                <w:sz w:val="22"/>
                <w:szCs w:val="22"/>
              </w:rPr>
              <w:t>non-PP</w:t>
            </w:r>
            <w:r w:rsidRPr="00AC06E0">
              <w:rPr>
                <w:sz w:val="22"/>
                <w:szCs w:val="22"/>
              </w:rPr>
              <w:t xml:space="preserve"> students’ nationally</w:t>
            </w:r>
            <w:r>
              <w:rPr>
                <w:sz w:val="22"/>
                <w:szCs w:val="22"/>
              </w:rPr>
              <w:t>.</w:t>
            </w:r>
          </w:p>
          <w:p w14:paraId="48186767" w14:textId="65DF3D0A" w:rsidR="004E00F2" w:rsidRDefault="004E00F2" w:rsidP="00783E37">
            <w:pPr>
              <w:pStyle w:val="TableRowCentered"/>
              <w:jc w:val="left"/>
              <w:rPr>
                <w:sz w:val="22"/>
                <w:szCs w:val="22"/>
              </w:rPr>
            </w:pPr>
            <w:r w:rsidRPr="004E00F2">
              <w:rPr>
                <w:b/>
                <w:bCs/>
                <w:sz w:val="22"/>
                <w:szCs w:val="22"/>
              </w:rPr>
              <w:t>Average Attainment 8 score 2024:</w:t>
            </w:r>
            <w:r>
              <w:rPr>
                <w:sz w:val="22"/>
                <w:szCs w:val="22"/>
              </w:rPr>
              <w:t xml:space="preserve"> 45.9</w:t>
            </w:r>
          </w:p>
          <w:p w14:paraId="3D94C7DC" w14:textId="1B7DE720" w:rsidR="004E00F2" w:rsidRPr="004E00F2" w:rsidRDefault="004E00F2" w:rsidP="00783E37">
            <w:pPr>
              <w:pStyle w:val="TableRowCentered"/>
              <w:jc w:val="left"/>
              <w:rPr>
                <w:b/>
                <w:bCs/>
                <w:sz w:val="22"/>
                <w:szCs w:val="22"/>
              </w:rPr>
            </w:pPr>
            <w:r w:rsidRPr="004E00F2">
              <w:rPr>
                <w:b/>
                <w:bCs/>
                <w:sz w:val="22"/>
                <w:szCs w:val="22"/>
              </w:rPr>
              <w:t>National basics measures 2024:</w:t>
            </w:r>
          </w:p>
          <w:p w14:paraId="49F1AF00" w14:textId="549B441A" w:rsidR="00783E37" w:rsidRDefault="004E00F2" w:rsidP="00783E37">
            <w:pPr>
              <w:pStyle w:val="TableRowCentered"/>
              <w:jc w:val="left"/>
              <w:rPr>
                <w:sz w:val="22"/>
                <w:szCs w:val="22"/>
              </w:rPr>
            </w:pPr>
            <w:r>
              <w:rPr>
                <w:sz w:val="22"/>
                <w:szCs w:val="22"/>
              </w:rPr>
              <w:t>45.9% Grade 5+ in English and Maths</w:t>
            </w:r>
          </w:p>
          <w:p w14:paraId="3D523FA9" w14:textId="0B43FA9A" w:rsidR="004E00F2" w:rsidRPr="00AC06E0" w:rsidRDefault="004E00F2" w:rsidP="00783E37">
            <w:pPr>
              <w:pStyle w:val="TableRowCentered"/>
              <w:jc w:val="left"/>
              <w:rPr>
                <w:sz w:val="22"/>
                <w:szCs w:val="22"/>
              </w:rPr>
            </w:pPr>
          </w:p>
        </w:tc>
      </w:tr>
    </w:tbl>
    <w:p w14:paraId="2A06959E" w14:textId="5303DFB1"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21708A3" w:rsidR="00E66558" w:rsidRDefault="00D80330">
      <w:r>
        <w:t>Budgeted cost: £</w:t>
      </w:r>
      <w:r w:rsidR="00A62C1C">
        <w:t>85,260</w:t>
      </w:r>
    </w:p>
    <w:tbl>
      <w:tblPr>
        <w:tblW w:w="5000" w:type="pct"/>
        <w:tblCellMar>
          <w:left w:w="10" w:type="dxa"/>
          <w:right w:w="10" w:type="dxa"/>
        </w:tblCellMar>
        <w:tblLook w:val="04A0" w:firstRow="1" w:lastRow="0" w:firstColumn="1" w:lastColumn="0" w:noHBand="0" w:noVBand="1"/>
      </w:tblPr>
      <w:tblGrid>
        <w:gridCol w:w="2120"/>
        <w:gridCol w:w="5871"/>
        <w:gridCol w:w="1495"/>
      </w:tblGrid>
      <w:tr w:rsidR="00E66558" w:rsidRPr="00DA0D29" w14:paraId="2A7D5519" w14:textId="77777777" w:rsidTr="006A4965">
        <w:tc>
          <w:tcPr>
            <w:tcW w:w="21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A0D29" w:rsidRDefault="009D71E8">
            <w:pPr>
              <w:pStyle w:val="TableHeader"/>
              <w:jc w:val="left"/>
              <w:rPr>
                <w:rFonts w:cs="Arial"/>
                <w:sz w:val="22"/>
                <w:szCs w:val="22"/>
              </w:rPr>
            </w:pPr>
            <w:r w:rsidRPr="00DA0D29">
              <w:rPr>
                <w:rFonts w:cs="Arial"/>
                <w:sz w:val="22"/>
                <w:szCs w:val="22"/>
              </w:rPr>
              <w:t>Activity</w:t>
            </w:r>
          </w:p>
        </w:tc>
        <w:tc>
          <w:tcPr>
            <w:tcW w:w="58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A0D29" w:rsidRDefault="009D71E8">
            <w:pPr>
              <w:pStyle w:val="TableHeader"/>
              <w:jc w:val="left"/>
              <w:rPr>
                <w:rFonts w:cs="Arial"/>
                <w:sz w:val="22"/>
                <w:szCs w:val="22"/>
              </w:rPr>
            </w:pPr>
            <w:r w:rsidRPr="00DA0D29">
              <w:rPr>
                <w:rFonts w:cs="Arial"/>
                <w:sz w:val="22"/>
                <w:szCs w:val="22"/>
              </w:rPr>
              <w:t>Evidence that supports this approach</w:t>
            </w:r>
          </w:p>
        </w:tc>
        <w:tc>
          <w:tcPr>
            <w:tcW w:w="15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DA0D29" w:rsidRDefault="009D71E8">
            <w:pPr>
              <w:pStyle w:val="TableHeader"/>
              <w:jc w:val="left"/>
              <w:rPr>
                <w:rFonts w:cs="Arial"/>
                <w:sz w:val="22"/>
                <w:szCs w:val="22"/>
              </w:rPr>
            </w:pPr>
            <w:r w:rsidRPr="00DA0D29">
              <w:rPr>
                <w:rFonts w:cs="Arial"/>
                <w:sz w:val="22"/>
                <w:szCs w:val="22"/>
              </w:rPr>
              <w:t>Challenge number(s) addressed</w:t>
            </w:r>
          </w:p>
        </w:tc>
      </w:tr>
      <w:tr w:rsidR="00E66558" w:rsidRPr="00DA0D29" w14:paraId="2A7D5521" w14:textId="77777777" w:rsidTr="006A4965">
        <w:trPr>
          <w:trHeight w:val="2258"/>
        </w:trPr>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4A3FF" w14:textId="77777777" w:rsidR="005E3C92" w:rsidRPr="00DA0D29" w:rsidRDefault="005E3C92" w:rsidP="005E3C92">
            <w:pPr>
              <w:pStyle w:val="TableRow"/>
              <w:rPr>
                <w:rFonts w:cs="Arial"/>
                <w:iCs/>
                <w:sz w:val="22"/>
                <w:szCs w:val="22"/>
              </w:rPr>
            </w:pPr>
            <w:r w:rsidRPr="00DA0D29">
              <w:rPr>
                <w:rFonts w:cs="Arial"/>
                <w:iCs/>
                <w:sz w:val="22"/>
                <w:szCs w:val="22"/>
              </w:rPr>
              <w:t xml:space="preserve">Developing high quality teaching, assessment and a curriculum which </w:t>
            </w:r>
          </w:p>
          <w:p w14:paraId="757C46C4" w14:textId="46305431" w:rsidR="005E3C92" w:rsidRPr="00DA0D29" w:rsidRDefault="005E3C92" w:rsidP="005E3C92">
            <w:pPr>
              <w:pStyle w:val="TableRow"/>
              <w:rPr>
                <w:rFonts w:cs="Arial"/>
                <w:iCs/>
                <w:sz w:val="22"/>
                <w:szCs w:val="22"/>
              </w:rPr>
            </w:pPr>
            <w:r w:rsidRPr="00DA0D29">
              <w:rPr>
                <w:rFonts w:cs="Arial"/>
                <w:iCs/>
                <w:sz w:val="22"/>
                <w:szCs w:val="22"/>
              </w:rPr>
              <w:t>responds to the needs of pupils</w:t>
            </w:r>
            <w:r w:rsidR="00BE4879" w:rsidRPr="00DA0D29">
              <w:rPr>
                <w:rFonts w:cs="Arial"/>
                <w:iCs/>
                <w:sz w:val="22"/>
                <w:szCs w:val="22"/>
              </w:rPr>
              <w:t>.</w:t>
            </w:r>
          </w:p>
          <w:p w14:paraId="6E1A9F5A" w14:textId="77777777" w:rsidR="00B307D6" w:rsidRPr="00DA0D29" w:rsidRDefault="00B307D6" w:rsidP="005C16E3">
            <w:pPr>
              <w:pStyle w:val="TableRow"/>
              <w:rPr>
                <w:rFonts w:cs="Arial"/>
                <w:iCs/>
                <w:sz w:val="22"/>
                <w:szCs w:val="22"/>
              </w:rPr>
            </w:pPr>
          </w:p>
          <w:p w14:paraId="0BA4FF0B" w14:textId="385348BF" w:rsidR="005F5153" w:rsidRPr="00DA0D29" w:rsidRDefault="005F5153" w:rsidP="005C16E3">
            <w:pPr>
              <w:pStyle w:val="TableRow"/>
              <w:rPr>
                <w:rFonts w:cs="Arial"/>
                <w:iCs/>
                <w:sz w:val="22"/>
                <w:szCs w:val="22"/>
              </w:rPr>
            </w:pPr>
            <w:r w:rsidRPr="00DA0D29">
              <w:rPr>
                <w:rFonts w:cs="Arial"/>
                <w:iCs/>
                <w:sz w:val="22"/>
                <w:szCs w:val="22"/>
              </w:rPr>
              <w:t xml:space="preserve">Whole school teaching and learning focus on addressing socio-economic disadvantage. </w:t>
            </w:r>
          </w:p>
          <w:p w14:paraId="192A9E39" w14:textId="77777777" w:rsidR="00B307D6" w:rsidRPr="00DA0D29" w:rsidRDefault="00B307D6" w:rsidP="00BE4879">
            <w:pPr>
              <w:pStyle w:val="TableRow"/>
              <w:rPr>
                <w:rFonts w:cs="Arial"/>
                <w:iCs/>
                <w:sz w:val="22"/>
                <w:szCs w:val="22"/>
              </w:rPr>
            </w:pPr>
          </w:p>
          <w:p w14:paraId="2BFB745B" w14:textId="2A7A38FF" w:rsidR="005F5153" w:rsidRPr="00DA0D29" w:rsidRDefault="005F5153" w:rsidP="00BE4879">
            <w:pPr>
              <w:pStyle w:val="TableRow"/>
              <w:rPr>
                <w:rFonts w:cs="Arial"/>
                <w:iCs/>
                <w:sz w:val="22"/>
                <w:szCs w:val="22"/>
              </w:rPr>
            </w:pPr>
            <w:r w:rsidRPr="00DA0D29">
              <w:rPr>
                <w:rFonts w:cs="Arial"/>
                <w:iCs/>
                <w:sz w:val="22"/>
                <w:szCs w:val="22"/>
              </w:rPr>
              <w:t xml:space="preserve">Specific </w:t>
            </w:r>
            <w:r w:rsidR="006A4965" w:rsidRPr="00DA0D29">
              <w:rPr>
                <w:rFonts w:cs="Arial"/>
                <w:iCs/>
                <w:sz w:val="22"/>
                <w:szCs w:val="22"/>
              </w:rPr>
              <w:t xml:space="preserve">CPD </w:t>
            </w:r>
            <w:r w:rsidRPr="00DA0D29">
              <w:rPr>
                <w:rFonts w:cs="Arial"/>
                <w:iCs/>
                <w:sz w:val="22"/>
                <w:szCs w:val="22"/>
              </w:rPr>
              <w:t xml:space="preserve">focus </w:t>
            </w:r>
            <w:r w:rsidR="00B307D6" w:rsidRPr="00DA0D29">
              <w:rPr>
                <w:rFonts w:cs="Arial"/>
                <w:iCs/>
                <w:sz w:val="22"/>
                <w:szCs w:val="22"/>
              </w:rPr>
              <w:t>for 2</w:t>
            </w:r>
            <w:r w:rsidR="00A62C1C">
              <w:rPr>
                <w:rFonts w:cs="Arial"/>
                <w:iCs/>
                <w:sz w:val="22"/>
                <w:szCs w:val="22"/>
              </w:rPr>
              <w:t>4</w:t>
            </w:r>
            <w:r w:rsidR="00B307D6" w:rsidRPr="00DA0D29">
              <w:rPr>
                <w:rFonts w:cs="Arial"/>
                <w:iCs/>
                <w:sz w:val="22"/>
                <w:szCs w:val="22"/>
              </w:rPr>
              <w:t>/2</w:t>
            </w:r>
            <w:r w:rsidR="00A62C1C">
              <w:rPr>
                <w:rFonts w:cs="Arial"/>
                <w:iCs/>
                <w:sz w:val="22"/>
                <w:szCs w:val="22"/>
              </w:rPr>
              <w:t>5</w:t>
            </w:r>
            <w:r w:rsidR="00B307D6" w:rsidRPr="00DA0D29">
              <w:rPr>
                <w:rFonts w:cs="Arial"/>
                <w:iCs/>
                <w:sz w:val="22"/>
                <w:szCs w:val="22"/>
              </w:rPr>
              <w:t xml:space="preserve"> </w:t>
            </w:r>
            <w:r w:rsidRPr="00DA0D29">
              <w:rPr>
                <w:rFonts w:cs="Arial"/>
                <w:iCs/>
                <w:sz w:val="22"/>
                <w:szCs w:val="22"/>
              </w:rPr>
              <w:t>on</w:t>
            </w:r>
            <w:r w:rsidR="00BE4879" w:rsidRPr="00DA0D29">
              <w:rPr>
                <w:rFonts w:cs="Arial"/>
                <w:iCs/>
                <w:sz w:val="22"/>
                <w:szCs w:val="22"/>
              </w:rPr>
              <w:t xml:space="preserve"> </w:t>
            </w:r>
            <w:r w:rsidR="00A62C1C">
              <w:rPr>
                <w:rFonts w:cs="Arial"/>
                <w:iCs/>
                <w:sz w:val="22"/>
                <w:szCs w:val="22"/>
              </w:rPr>
              <w:t xml:space="preserve">adaptive teaching, </w:t>
            </w:r>
            <w:r w:rsidR="00BE4879" w:rsidRPr="00DA0D29">
              <w:rPr>
                <w:rFonts w:cs="Arial"/>
                <w:iCs/>
                <w:sz w:val="22"/>
                <w:szCs w:val="22"/>
              </w:rPr>
              <w:t>assessment</w:t>
            </w:r>
            <w:r w:rsidR="00122B11">
              <w:rPr>
                <w:rFonts w:cs="Arial"/>
                <w:iCs/>
                <w:sz w:val="22"/>
                <w:szCs w:val="22"/>
              </w:rPr>
              <w:t xml:space="preserve"> and technology.</w:t>
            </w:r>
          </w:p>
          <w:p w14:paraId="6CF633BB" w14:textId="77777777" w:rsidR="005F5153" w:rsidRPr="00DA0D29" w:rsidRDefault="005F5153" w:rsidP="005F5153">
            <w:pPr>
              <w:pStyle w:val="TableRow"/>
              <w:rPr>
                <w:rFonts w:cs="Arial"/>
                <w:iCs/>
                <w:sz w:val="22"/>
                <w:szCs w:val="22"/>
              </w:rPr>
            </w:pPr>
          </w:p>
          <w:p w14:paraId="4BD46C20" w14:textId="77777777" w:rsidR="00676080" w:rsidRPr="00DA0D29" w:rsidRDefault="005F5153" w:rsidP="009E6F48">
            <w:pPr>
              <w:pStyle w:val="TableRow"/>
              <w:rPr>
                <w:rFonts w:cs="Arial"/>
                <w:iCs/>
                <w:sz w:val="22"/>
                <w:szCs w:val="22"/>
              </w:rPr>
            </w:pPr>
            <w:r w:rsidRPr="00DA0D29">
              <w:rPr>
                <w:rFonts w:cs="Arial"/>
                <w:iCs/>
                <w:sz w:val="22"/>
                <w:szCs w:val="22"/>
              </w:rPr>
              <w:t xml:space="preserve">Each </w:t>
            </w:r>
            <w:r w:rsidR="00754C6D" w:rsidRPr="00DA0D29">
              <w:rPr>
                <w:rFonts w:cs="Arial"/>
                <w:iCs/>
                <w:sz w:val="22"/>
                <w:szCs w:val="22"/>
              </w:rPr>
              <w:t xml:space="preserve">teaching </w:t>
            </w:r>
            <w:r w:rsidRPr="00DA0D29">
              <w:rPr>
                <w:rFonts w:cs="Arial"/>
                <w:iCs/>
                <w:sz w:val="22"/>
                <w:szCs w:val="22"/>
              </w:rPr>
              <w:t xml:space="preserve">department will </w:t>
            </w:r>
            <w:r w:rsidR="00754C6D" w:rsidRPr="00DA0D29">
              <w:rPr>
                <w:rFonts w:cs="Arial"/>
                <w:iCs/>
                <w:sz w:val="22"/>
                <w:szCs w:val="22"/>
              </w:rPr>
              <w:t>embed</w:t>
            </w:r>
            <w:r w:rsidRPr="00DA0D29">
              <w:rPr>
                <w:rFonts w:cs="Arial"/>
                <w:iCs/>
                <w:sz w:val="22"/>
                <w:szCs w:val="22"/>
              </w:rPr>
              <w:t xml:space="preserve"> subject-specific strategies to support disadvantaged students.</w:t>
            </w:r>
          </w:p>
          <w:p w14:paraId="0A9FB231" w14:textId="23B37670" w:rsidR="00012C2E" w:rsidRPr="00DA0D29" w:rsidRDefault="00012C2E" w:rsidP="009E6F48">
            <w:pPr>
              <w:pStyle w:val="TableRow"/>
              <w:rPr>
                <w:rFonts w:cs="Arial"/>
                <w:iCs/>
                <w:sz w:val="22"/>
                <w:szCs w:val="22"/>
              </w:rPr>
            </w:pPr>
          </w:p>
          <w:p w14:paraId="667BA050" w14:textId="55D5EE2F" w:rsidR="006A4965" w:rsidRPr="00DA0D29" w:rsidRDefault="006A4965" w:rsidP="006A4965">
            <w:pPr>
              <w:pStyle w:val="TableRowCentered"/>
              <w:jc w:val="left"/>
              <w:rPr>
                <w:rFonts w:cs="Arial"/>
                <w:color w:val="000000" w:themeColor="text1"/>
                <w:sz w:val="22"/>
                <w:szCs w:val="22"/>
                <w:shd w:val="clear" w:color="auto" w:fill="FFFFFF"/>
              </w:rPr>
            </w:pPr>
            <w:r w:rsidRPr="00DA0D29">
              <w:rPr>
                <w:rFonts w:cs="Arial"/>
                <w:sz w:val="22"/>
                <w:szCs w:val="22"/>
              </w:rPr>
              <w:t>Our whole school performance objective for 202</w:t>
            </w:r>
            <w:r w:rsidR="00A62C1C">
              <w:rPr>
                <w:rFonts w:cs="Arial"/>
                <w:sz w:val="22"/>
                <w:szCs w:val="22"/>
              </w:rPr>
              <w:t>4</w:t>
            </w:r>
            <w:r w:rsidRPr="00DA0D29">
              <w:rPr>
                <w:rFonts w:cs="Arial"/>
                <w:sz w:val="22"/>
                <w:szCs w:val="22"/>
              </w:rPr>
              <w:t>/</w:t>
            </w:r>
            <w:r w:rsidR="00A62C1C">
              <w:rPr>
                <w:rFonts w:cs="Arial"/>
                <w:sz w:val="22"/>
                <w:szCs w:val="22"/>
              </w:rPr>
              <w:t>5</w:t>
            </w:r>
            <w:r w:rsidRPr="00DA0D29">
              <w:rPr>
                <w:rFonts w:cs="Arial"/>
                <w:sz w:val="22"/>
                <w:szCs w:val="22"/>
              </w:rPr>
              <w:t xml:space="preserve"> includes all staff and prioritises the progress of disadvantaged students: </w:t>
            </w:r>
          </w:p>
          <w:p w14:paraId="36D362A2" w14:textId="2FC2177F" w:rsidR="006A4965" w:rsidRPr="00DA0D29" w:rsidRDefault="006A4965" w:rsidP="006A4965">
            <w:pPr>
              <w:pStyle w:val="TableRow"/>
              <w:rPr>
                <w:rFonts w:cs="Arial"/>
                <w:iCs/>
                <w:sz w:val="22"/>
                <w:szCs w:val="22"/>
              </w:rPr>
            </w:pPr>
            <w:r w:rsidRPr="00DA0D29">
              <w:rPr>
                <w:rFonts w:cs="Arial"/>
                <w:i/>
                <w:sz w:val="22"/>
                <w:szCs w:val="22"/>
              </w:rPr>
              <w:t>To implement strategies to enable pupils, especially vulnerable pupils, to make exceptional academic progress in line with whole school performance targets.</w:t>
            </w:r>
          </w:p>
          <w:p w14:paraId="049A04B6" w14:textId="77777777" w:rsidR="006A4965" w:rsidRPr="00DA0D29" w:rsidRDefault="006A4965" w:rsidP="009E6F48">
            <w:pPr>
              <w:pStyle w:val="TableRow"/>
              <w:rPr>
                <w:rFonts w:cs="Arial"/>
                <w:iCs/>
                <w:sz w:val="22"/>
                <w:szCs w:val="22"/>
              </w:rPr>
            </w:pPr>
          </w:p>
          <w:p w14:paraId="2A7D551E" w14:textId="1E2D8CE9" w:rsidR="00012C2E" w:rsidRPr="00DA0D29" w:rsidRDefault="00012C2E" w:rsidP="009E6F48">
            <w:pPr>
              <w:pStyle w:val="TableRow"/>
              <w:rPr>
                <w:rFonts w:cs="Arial"/>
                <w:iCs/>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788C" w14:textId="53DABF13" w:rsidR="00CF03F8" w:rsidRPr="00DA0D29" w:rsidRDefault="00C35B5F" w:rsidP="005F5153">
            <w:pPr>
              <w:pStyle w:val="TableRowCentered"/>
              <w:ind w:left="0"/>
              <w:jc w:val="left"/>
              <w:rPr>
                <w:rFonts w:cs="Arial"/>
                <w:sz w:val="22"/>
                <w:szCs w:val="22"/>
              </w:rPr>
            </w:pPr>
            <w:r w:rsidRPr="00DA0D29">
              <w:rPr>
                <w:rFonts w:cs="Arial"/>
                <w:sz w:val="22"/>
                <w:szCs w:val="22"/>
              </w:rPr>
              <w:t xml:space="preserve">Our </w:t>
            </w:r>
            <w:r w:rsidR="005E3C92" w:rsidRPr="00DA0D29">
              <w:rPr>
                <w:rFonts w:cs="Arial"/>
                <w:sz w:val="22"/>
                <w:szCs w:val="22"/>
              </w:rPr>
              <w:t xml:space="preserve">Continuous Professional </w:t>
            </w:r>
            <w:r w:rsidRPr="00DA0D29">
              <w:rPr>
                <w:rFonts w:cs="Arial"/>
                <w:sz w:val="22"/>
                <w:szCs w:val="22"/>
              </w:rPr>
              <w:t>D</w:t>
            </w:r>
            <w:r w:rsidR="005E3C92" w:rsidRPr="00DA0D29">
              <w:rPr>
                <w:rFonts w:cs="Arial"/>
                <w:sz w:val="22"/>
                <w:szCs w:val="22"/>
              </w:rPr>
              <w:t>evelopment</w:t>
            </w:r>
            <w:r w:rsidRPr="00DA0D29">
              <w:rPr>
                <w:rFonts w:cs="Arial"/>
                <w:sz w:val="22"/>
                <w:szCs w:val="22"/>
              </w:rPr>
              <w:t xml:space="preserve"> programme</w:t>
            </w:r>
            <w:r w:rsidR="005E3C92" w:rsidRPr="00DA0D29">
              <w:rPr>
                <w:rFonts w:cs="Arial"/>
                <w:sz w:val="22"/>
                <w:szCs w:val="22"/>
              </w:rPr>
              <w:t xml:space="preserve"> draws on evidence-based approaches</w:t>
            </w:r>
            <w:r w:rsidR="00754C6D" w:rsidRPr="00DA0D29">
              <w:rPr>
                <w:rFonts w:cs="Arial"/>
                <w:sz w:val="22"/>
                <w:szCs w:val="22"/>
              </w:rPr>
              <w:t xml:space="preserve"> </w:t>
            </w:r>
            <w:r w:rsidR="005E3C92" w:rsidRPr="00DA0D29">
              <w:rPr>
                <w:rFonts w:cs="Arial"/>
                <w:sz w:val="22"/>
                <w:szCs w:val="22"/>
              </w:rPr>
              <w:t>which h</w:t>
            </w:r>
            <w:r w:rsidRPr="00DA0D29">
              <w:rPr>
                <w:rFonts w:cs="Arial"/>
                <w:sz w:val="22"/>
                <w:szCs w:val="22"/>
              </w:rPr>
              <w:t>ave</w:t>
            </w:r>
            <w:r w:rsidR="005E3C92" w:rsidRPr="00DA0D29">
              <w:rPr>
                <w:rFonts w:cs="Arial"/>
                <w:sz w:val="22"/>
                <w:szCs w:val="22"/>
              </w:rPr>
              <w:t xml:space="preserve"> been </w:t>
            </w:r>
            <w:r w:rsidR="00CF03F8" w:rsidRPr="00DA0D29">
              <w:rPr>
                <w:rFonts w:cs="Arial"/>
                <w:sz w:val="22"/>
                <w:szCs w:val="22"/>
              </w:rPr>
              <w:t>carefully selected to be appropriate for our setting and for our disadvantaged student</w:t>
            </w:r>
            <w:r w:rsidR="006A4965" w:rsidRPr="00DA0D29">
              <w:rPr>
                <w:rFonts w:cs="Arial"/>
                <w:sz w:val="22"/>
                <w:szCs w:val="22"/>
              </w:rPr>
              <w:t>s, and drawing from the DfE’s ‘menu of approaches’.</w:t>
            </w:r>
          </w:p>
          <w:p w14:paraId="4A9B3916" w14:textId="0ED717E9" w:rsidR="00C35B5F" w:rsidRPr="00DA0D29" w:rsidRDefault="00C35B5F" w:rsidP="006A4965">
            <w:pPr>
              <w:pStyle w:val="TableRowCentered"/>
              <w:numPr>
                <w:ilvl w:val="0"/>
                <w:numId w:val="23"/>
              </w:numPr>
              <w:jc w:val="left"/>
              <w:rPr>
                <w:rFonts w:cs="Arial"/>
                <w:sz w:val="22"/>
                <w:szCs w:val="22"/>
              </w:rPr>
            </w:pPr>
            <w:r w:rsidRPr="00DA0D29">
              <w:rPr>
                <w:rFonts w:cs="Arial"/>
                <w:sz w:val="22"/>
                <w:szCs w:val="22"/>
              </w:rPr>
              <w:t>EEF Teaching and Learning Toolkit</w:t>
            </w:r>
          </w:p>
          <w:p w14:paraId="71C3C084" w14:textId="42F18D31" w:rsidR="00C35B5F" w:rsidRPr="00DA0D29" w:rsidRDefault="00C83C64" w:rsidP="00B307D6">
            <w:pPr>
              <w:pStyle w:val="TableRowCentered"/>
              <w:ind w:left="0"/>
              <w:jc w:val="left"/>
              <w:rPr>
                <w:rFonts w:cs="Arial"/>
                <w:sz w:val="22"/>
                <w:szCs w:val="22"/>
              </w:rPr>
            </w:pPr>
            <w:hyperlink r:id="rId7" w:history="1">
              <w:r w:rsidR="00C35B5F" w:rsidRPr="00DA0D29">
                <w:rPr>
                  <w:rStyle w:val="Hyperlink"/>
                  <w:rFonts w:cs="Arial"/>
                  <w:sz w:val="22"/>
                  <w:szCs w:val="22"/>
                </w:rPr>
                <w:t>https://educationendowmentfoundation.org.uk/education-evidence/teaching-learning-toolkit/feedback</w:t>
              </w:r>
            </w:hyperlink>
            <w:r w:rsidR="00C35B5F" w:rsidRPr="00DA0D29">
              <w:rPr>
                <w:rFonts w:cs="Arial"/>
                <w:sz w:val="22"/>
                <w:szCs w:val="22"/>
              </w:rPr>
              <w:t xml:space="preserve">: </w:t>
            </w:r>
            <w:r w:rsidR="00C35B5F" w:rsidRPr="00DA0D29">
              <w:rPr>
                <w:rFonts w:cs="Arial"/>
                <w:i/>
                <w:iCs/>
                <w:sz w:val="22"/>
                <w:szCs w:val="22"/>
              </w:rPr>
              <w:t>There is evidence to suggest that feedback involving metacognitive and self-regulatory approaches may have 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34206C88" w14:textId="6358CB8B" w:rsidR="00C35B5F" w:rsidRPr="00DA0D29" w:rsidRDefault="00C35B5F" w:rsidP="006A4965">
            <w:pPr>
              <w:pStyle w:val="TableRowCentered"/>
              <w:numPr>
                <w:ilvl w:val="0"/>
                <w:numId w:val="23"/>
              </w:numPr>
              <w:jc w:val="left"/>
              <w:rPr>
                <w:rFonts w:cs="Arial"/>
                <w:sz w:val="22"/>
                <w:szCs w:val="22"/>
              </w:rPr>
            </w:pPr>
            <w:r w:rsidRPr="00DA0D29">
              <w:rPr>
                <w:rFonts w:cs="Arial"/>
                <w:sz w:val="22"/>
                <w:szCs w:val="22"/>
              </w:rPr>
              <w:t>EEF Guidance reports</w:t>
            </w:r>
          </w:p>
          <w:p w14:paraId="782E0445" w14:textId="3EF85039" w:rsidR="001B2B17" w:rsidRDefault="00C83C64" w:rsidP="00B307D6">
            <w:pPr>
              <w:pStyle w:val="TableRowCentered"/>
              <w:ind w:left="0"/>
              <w:jc w:val="left"/>
              <w:rPr>
                <w:rFonts w:cs="Arial"/>
                <w:i/>
                <w:iCs/>
                <w:color w:val="263238"/>
                <w:sz w:val="22"/>
                <w:szCs w:val="22"/>
                <w:shd w:val="clear" w:color="auto" w:fill="FFFFFF"/>
              </w:rPr>
            </w:pPr>
            <w:hyperlink r:id="rId8" w:history="1">
              <w:r w:rsidR="00C35B5F" w:rsidRPr="00DA0D29">
                <w:rPr>
                  <w:rStyle w:val="Hyperlink"/>
                  <w:rFonts w:cs="Arial"/>
                  <w:sz w:val="22"/>
                  <w:szCs w:val="22"/>
                </w:rPr>
                <w:t>https://educationendowmentfoundation.org.uk/guidance-for-teachers/assessment-feedback</w:t>
              </w:r>
            </w:hyperlink>
            <w:r w:rsidR="00B307D6" w:rsidRPr="00DA0D29">
              <w:rPr>
                <w:rFonts w:cs="Arial"/>
                <w:sz w:val="22"/>
                <w:szCs w:val="22"/>
              </w:rPr>
              <w:t xml:space="preserve">: </w:t>
            </w:r>
            <w:r w:rsidR="00B307D6" w:rsidRPr="00DA0D29">
              <w:rPr>
                <w:rFonts w:cs="Arial"/>
                <w:i/>
                <w:iCs/>
                <w:color w:val="263238"/>
                <w:sz w:val="22"/>
                <w:szCs w:val="22"/>
                <w:shd w:val="clear" w:color="auto" w:fill="FFFFFF"/>
              </w:rPr>
              <w:t>Providing high-quality feedback to pupils is integral to effective teaching. Equally, gathering feedback on how well pupils have learned a topic is important in enabling teachers to address any misunderstanding and provide the right level of challenge in future lessons.</w:t>
            </w:r>
          </w:p>
          <w:p w14:paraId="5125F72E" w14:textId="551D4711" w:rsidR="00122B11" w:rsidRPr="00122B11" w:rsidRDefault="00C83C64" w:rsidP="00B307D6">
            <w:pPr>
              <w:pStyle w:val="TableRowCentered"/>
              <w:ind w:left="0"/>
              <w:jc w:val="left"/>
              <w:rPr>
                <w:sz w:val="22"/>
                <w:szCs w:val="22"/>
              </w:rPr>
            </w:pPr>
            <w:hyperlink r:id="rId9" w:history="1">
              <w:r w:rsidR="00122B11" w:rsidRPr="00951D1B">
                <w:rPr>
                  <w:rStyle w:val="Hyperlink"/>
                  <w:sz w:val="22"/>
                  <w:szCs w:val="22"/>
                </w:rPr>
                <w:t>https://educationendowmentfoundation.org.uk/education-evidence/guidance-reports/digital</w:t>
              </w:r>
            </w:hyperlink>
            <w:r w:rsidR="00122B11">
              <w:rPr>
                <w:sz w:val="22"/>
                <w:szCs w:val="22"/>
              </w:rPr>
              <w:t>: ‘</w:t>
            </w:r>
            <w:r w:rsidR="00122B11" w:rsidRPr="00122B11">
              <w:rPr>
                <w:i/>
                <w:iCs/>
                <w:sz w:val="22"/>
                <w:szCs w:val="22"/>
              </w:rPr>
              <w:t>To improve learning, schools should consider the specific barriers technology is addressing, particularly for disadvantaged students, and use technology in a way that is informed by effective pedagogy’</w:t>
            </w:r>
          </w:p>
          <w:p w14:paraId="34DF9AB2" w14:textId="293341C2" w:rsidR="00B307D6" w:rsidRPr="00DA0D29" w:rsidRDefault="00C83C64" w:rsidP="00B307D6">
            <w:pPr>
              <w:pStyle w:val="TableRowCentered"/>
              <w:ind w:left="0"/>
              <w:jc w:val="left"/>
              <w:rPr>
                <w:rFonts w:cs="Arial"/>
                <w:i/>
                <w:iCs/>
                <w:sz w:val="22"/>
                <w:szCs w:val="22"/>
              </w:rPr>
            </w:pPr>
            <w:hyperlink r:id="rId10" w:history="1">
              <w:r w:rsidR="00C35B5F" w:rsidRPr="00DA0D29">
                <w:rPr>
                  <w:rStyle w:val="Hyperlink"/>
                  <w:rFonts w:cs="Arial"/>
                  <w:sz w:val="22"/>
                  <w:szCs w:val="22"/>
                  <w:shd w:val="clear" w:color="auto" w:fill="FFFFFF"/>
                </w:rPr>
                <w:t>https://educationendowmentfoundation.org.uk/education-evidence/guidance-reports/feedback</w:t>
              </w:r>
            </w:hyperlink>
            <w:r w:rsidR="00C35B5F" w:rsidRPr="00DA0D29">
              <w:rPr>
                <w:rFonts w:cs="Arial"/>
                <w:color w:val="263238"/>
                <w:sz w:val="22"/>
                <w:szCs w:val="22"/>
                <w:shd w:val="clear" w:color="auto" w:fill="FFFFFF"/>
              </w:rPr>
              <w:t xml:space="preserve">: </w:t>
            </w:r>
            <w:r w:rsidR="00C35B5F" w:rsidRPr="00DA0D29">
              <w:rPr>
                <w:rFonts w:cs="Arial"/>
                <w:i/>
                <w:iCs/>
                <w:sz w:val="22"/>
                <w:szCs w:val="22"/>
              </w:rPr>
              <w:t>‘formative assessment’… means providing teaching that is adaptive to pupils’ needs and using evidence about learning to adjust instruction to ensure that learning moves forward</w:t>
            </w:r>
          </w:p>
          <w:p w14:paraId="56819D4E" w14:textId="59E73755" w:rsidR="006A4965" w:rsidRPr="00DA0D29" w:rsidRDefault="006A4965" w:rsidP="006A4965">
            <w:pPr>
              <w:pStyle w:val="TableRowCentered"/>
              <w:numPr>
                <w:ilvl w:val="0"/>
                <w:numId w:val="23"/>
              </w:numPr>
              <w:jc w:val="left"/>
              <w:rPr>
                <w:rFonts w:cs="Arial"/>
                <w:i/>
                <w:iCs/>
                <w:sz w:val="22"/>
                <w:szCs w:val="22"/>
              </w:rPr>
            </w:pPr>
            <w:r w:rsidRPr="00DA0D29">
              <w:rPr>
                <w:rFonts w:cs="Arial"/>
                <w:sz w:val="22"/>
                <w:szCs w:val="22"/>
              </w:rPr>
              <w:t>EEF’s Cognitive Science in the Classroom: A Review of the Evidence</w:t>
            </w:r>
          </w:p>
          <w:p w14:paraId="0D3B55C7" w14:textId="3412F65A" w:rsidR="006A4965" w:rsidRPr="00DA0D29" w:rsidRDefault="006A4965" w:rsidP="006A4965">
            <w:pPr>
              <w:pStyle w:val="TableRowCentered"/>
              <w:jc w:val="left"/>
              <w:rPr>
                <w:rFonts w:cs="Arial"/>
                <w:i/>
                <w:iCs/>
                <w:sz w:val="22"/>
                <w:szCs w:val="22"/>
              </w:rPr>
            </w:pPr>
            <w:r w:rsidRPr="00DA0D29">
              <w:rPr>
                <w:rFonts w:cs="Arial"/>
                <w:i/>
                <w:iCs/>
                <w:sz w:val="22"/>
                <w:szCs w:val="22"/>
              </w:rPr>
              <w:t>Chapter 5 Working with Schemas: When using concept mapping and comparison, it is important teachers know why they are employing these strategies and have a plan for assessing pupils’ understanding to ensure key conclusions have been taken from tasks.</w:t>
            </w:r>
          </w:p>
          <w:p w14:paraId="718C4DC8" w14:textId="77777777" w:rsidR="00827A7C" w:rsidRPr="00DA0D29" w:rsidRDefault="00827A7C" w:rsidP="00122B11">
            <w:pPr>
              <w:pStyle w:val="TableRowCentered"/>
              <w:ind w:left="0"/>
              <w:jc w:val="left"/>
              <w:rPr>
                <w:rFonts w:cs="Arial"/>
                <w:color w:val="000000" w:themeColor="text1"/>
                <w:sz w:val="22"/>
                <w:szCs w:val="22"/>
                <w:shd w:val="clear" w:color="auto" w:fill="FFFFFF"/>
              </w:rPr>
            </w:pPr>
          </w:p>
          <w:p w14:paraId="2A7D551F" w14:textId="6AF5C4D0" w:rsidR="00CF03F8" w:rsidRPr="00DA0D29" w:rsidRDefault="00C5291A" w:rsidP="00827A7C">
            <w:pPr>
              <w:pStyle w:val="TableRowCentered"/>
              <w:jc w:val="left"/>
              <w:rPr>
                <w:rFonts w:cs="Arial"/>
                <w:i/>
                <w:sz w:val="22"/>
                <w:szCs w:val="22"/>
              </w:rPr>
            </w:pPr>
            <w:r w:rsidRPr="00DA0D29">
              <w:rPr>
                <w:rFonts w:cs="Arial"/>
                <w:color w:val="000000" w:themeColor="text1"/>
                <w:sz w:val="22"/>
                <w:szCs w:val="22"/>
                <w:shd w:val="clear" w:color="auto" w:fill="FFFFFF"/>
              </w:rPr>
              <w:t xml:space="preserve">Our CPD programme </w:t>
            </w:r>
            <w:r w:rsidR="00827A7C" w:rsidRPr="00DA0D29">
              <w:rPr>
                <w:rFonts w:cs="Arial"/>
                <w:color w:val="000000" w:themeColor="text1"/>
                <w:sz w:val="22"/>
                <w:szCs w:val="22"/>
                <w:shd w:val="clear" w:color="auto" w:fill="FFFFFF"/>
              </w:rPr>
              <w:t xml:space="preserve">is informed by the EEF guidance reports: </w:t>
            </w:r>
            <w:r w:rsidR="00827A7C" w:rsidRPr="00DA0D29">
              <w:rPr>
                <w:rFonts w:cs="Arial"/>
                <w:i/>
                <w:iCs/>
                <w:color w:val="000000" w:themeColor="text1"/>
                <w:sz w:val="22"/>
                <w:szCs w:val="22"/>
                <w:shd w:val="clear" w:color="auto" w:fill="FFFFFF"/>
              </w:rPr>
              <w:t>Effective Professional Development</w:t>
            </w:r>
            <w:r w:rsidR="00827A7C" w:rsidRPr="00DA0D29">
              <w:rPr>
                <w:rFonts w:cs="Arial"/>
                <w:color w:val="000000" w:themeColor="text1"/>
                <w:sz w:val="22"/>
                <w:szCs w:val="22"/>
                <w:shd w:val="clear" w:color="auto" w:fill="FFFFFF"/>
              </w:rPr>
              <w:t xml:space="preserve"> and </w:t>
            </w:r>
            <w:r w:rsidR="00827A7C" w:rsidRPr="00DA0D29">
              <w:rPr>
                <w:rFonts w:cs="Arial"/>
                <w:i/>
                <w:iCs/>
                <w:color w:val="000000" w:themeColor="text1"/>
                <w:sz w:val="22"/>
                <w:szCs w:val="22"/>
                <w:shd w:val="clear" w:color="auto" w:fill="FFFFFF"/>
              </w:rPr>
              <w:t>Putting Evidence to Work: A School’s Guide to Implementation</w:t>
            </w:r>
            <w:r w:rsidR="00827A7C" w:rsidRPr="00DA0D29">
              <w:rPr>
                <w:rFonts w:cs="Arial"/>
                <w:color w:val="000000" w:themeColor="text1"/>
                <w:sz w:val="22"/>
                <w:szCs w:val="22"/>
                <w:shd w:val="clear" w:color="auto" w:fill="FFFFFF"/>
              </w:rPr>
              <w:t>.</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9C3641A" w:rsidR="00E66558" w:rsidRPr="00DA0D29" w:rsidRDefault="00A62C1C">
            <w:pPr>
              <w:pStyle w:val="TableRowCentered"/>
              <w:jc w:val="left"/>
              <w:rPr>
                <w:rFonts w:cs="Arial"/>
                <w:sz w:val="22"/>
                <w:szCs w:val="22"/>
              </w:rPr>
            </w:pPr>
            <w:r>
              <w:rPr>
                <w:rFonts w:cs="Arial"/>
                <w:sz w:val="22"/>
                <w:szCs w:val="22"/>
              </w:rPr>
              <w:t>3</w:t>
            </w:r>
          </w:p>
        </w:tc>
      </w:tr>
      <w:tr w:rsidR="00A22E48" w:rsidRPr="00DA0D29" w14:paraId="0FD88648" w14:textId="77777777" w:rsidTr="006A4965">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21991" w14:textId="1AFB7B46" w:rsidR="00A22E48" w:rsidRPr="00DA0D29" w:rsidRDefault="000461A4" w:rsidP="00323A8C">
            <w:pPr>
              <w:pStyle w:val="TableRow"/>
              <w:rPr>
                <w:rFonts w:cs="Arial"/>
                <w:iCs/>
                <w:sz w:val="22"/>
                <w:szCs w:val="22"/>
              </w:rPr>
            </w:pPr>
            <w:r w:rsidRPr="00DA0D29">
              <w:rPr>
                <w:rFonts w:cs="Arial"/>
                <w:iCs/>
                <w:sz w:val="22"/>
                <w:szCs w:val="22"/>
              </w:rPr>
              <w:t>The promotion of reading across the school, including disadvantaged students</w:t>
            </w:r>
            <w:r w:rsidR="00CB338E" w:rsidRPr="00DA0D29">
              <w:rPr>
                <w:rFonts w:cs="Arial"/>
                <w:iCs/>
                <w:sz w:val="22"/>
                <w:szCs w:val="22"/>
              </w:rPr>
              <w:t>, as a key strategy to support language development and comprehension.</w:t>
            </w:r>
          </w:p>
          <w:p w14:paraId="3C9D719B" w14:textId="0558080A" w:rsidR="000461A4" w:rsidRPr="00DA0D29" w:rsidRDefault="000461A4" w:rsidP="000461A4">
            <w:pPr>
              <w:pStyle w:val="TableRow"/>
              <w:numPr>
                <w:ilvl w:val="0"/>
                <w:numId w:val="20"/>
              </w:numPr>
              <w:rPr>
                <w:rFonts w:cs="Arial"/>
                <w:iCs/>
                <w:sz w:val="22"/>
                <w:szCs w:val="22"/>
              </w:rPr>
            </w:pPr>
            <w:r w:rsidRPr="00DA0D29">
              <w:rPr>
                <w:rFonts w:cs="Arial"/>
                <w:iCs/>
                <w:sz w:val="22"/>
                <w:szCs w:val="22"/>
              </w:rPr>
              <w:t>Development of school library</w:t>
            </w:r>
            <w:r w:rsidR="00C5291A" w:rsidRPr="00DA0D29">
              <w:rPr>
                <w:rFonts w:cs="Arial"/>
                <w:iCs/>
                <w:sz w:val="22"/>
                <w:szCs w:val="22"/>
              </w:rPr>
              <w:t xml:space="preserve"> provision</w:t>
            </w:r>
          </w:p>
          <w:p w14:paraId="005F5BF6" w14:textId="75B2AE8B" w:rsidR="000461A4" w:rsidRPr="00DA0D29" w:rsidRDefault="000461A4" w:rsidP="000461A4">
            <w:pPr>
              <w:pStyle w:val="TableRow"/>
              <w:numPr>
                <w:ilvl w:val="0"/>
                <w:numId w:val="20"/>
              </w:numPr>
              <w:rPr>
                <w:rFonts w:cs="Arial"/>
                <w:iCs/>
                <w:sz w:val="22"/>
                <w:szCs w:val="22"/>
              </w:rPr>
            </w:pPr>
            <w:r w:rsidRPr="00DA0D29">
              <w:rPr>
                <w:rFonts w:cs="Arial"/>
                <w:iCs/>
                <w:sz w:val="22"/>
                <w:szCs w:val="22"/>
              </w:rPr>
              <w:t xml:space="preserve">Consistent use of form time for private </w:t>
            </w:r>
            <w:r w:rsidR="00517E50" w:rsidRPr="00DA0D29">
              <w:rPr>
                <w:rFonts w:cs="Arial"/>
                <w:iCs/>
                <w:sz w:val="22"/>
                <w:szCs w:val="22"/>
              </w:rPr>
              <w:t xml:space="preserve">and/or shared </w:t>
            </w:r>
            <w:r w:rsidRPr="00DA0D29">
              <w:rPr>
                <w:rFonts w:cs="Arial"/>
                <w:iCs/>
                <w:sz w:val="22"/>
                <w:szCs w:val="22"/>
              </w:rPr>
              <w:t xml:space="preserve">reading </w:t>
            </w:r>
          </w:p>
          <w:p w14:paraId="65578AC9" w14:textId="77777777" w:rsidR="000461A4" w:rsidRPr="00DA0D29" w:rsidRDefault="000461A4" w:rsidP="000461A4">
            <w:pPr>
              <w:pStyle w:val="TableRow"/>
              <w:numPr>
                <w:ilvl w:val="0"/>
                <w:numId w:val="20"/>
              </w:numPr>
              <w:rPr>
                <w:rFonts w:cs="Arial"/>
                <w:iCs/>
                <w:sz w:val="22"/>
                <w:szCs w:val="22"/>
              </w:rPr>
            </w:pPr>
            <w:r w:rsidRPr="00DA0D29">
              <w:rPr>
                <w:rFonts w:cs="Arial"/>
                <w:iCs/>
                <w:sz w:val="22"/>
                <w:szCs w:val="22"/>
              </w:rPr>
              <w:t xml:space="preserve">Develop a team of KS5 Literacy Leaders (Reading Champions) </w:t>
            </w:r>
          </w:p>
          <w:p w14:paraId="3D3E1BFC" w14:textId="77777777" w:rsidR="001B2B17" w:rsidRPr="00DA0D29" w:rsidRDefault="000461A4" w:rsidP="009E6F48">
            <w:pPr>
              <w:pStyle w:val="TableRow"/>
              <w:numPr>
                <w:ilvl w:val="0"/>
                <w:numId w:val="20"/>
              </w:numPr>
              <w:rPr>
                <w:rFonts w:cs="Arial"/>
                <w:iCs/>
                <w:sz w:val="22"/>
                <w:szCs w:val="22"/>
              </w:rPr>
            </w:pPr>
            <w:r w:rsidRPr="00DA0D29">
              <w:rPr>
                <w:rFonts w:cs="Arial"/>
                <w:iCs/>
                <w:sz w:val="22"/>
                <w:szCs w:val="22"/>
              </w:rPr>
              <w:t xml:space="preserve">Run themed reading activities </w:t>
            </w:r>
            <w:r w:rsidR="00517E50" w:rsidRPr="00DA0D29">
              <w:rPr>
                <w:rFonts w:cs="Arial"/>
                <w:iCs/>
                <w:sz w:val="22"/>
                <w:szCs w:val="22"/>
              </w:rPr>
              <w:t xml:space="preserve">and competitions </w:t>
            </w:r>
            <w:r w:rsidRPr="00DA0D29">
              <w:rPr>
                <w:rFonts w:cs="Arial"/>
                <w:iCs/>
                <w:sz w:val="22"/>
                <w:szCs w:val="22"/>
              </w:rPr>
              <w:t>throughout the year</w:t>
            </w:r>
          </w:p>
          <w:p w14:paraId="0D1E9A6B" w14:textId="771828FB" w:rsidR="00C5291A" w:rsidRPr="00DA0D29" w:rsidRDefault="00C5291A" w:rsidP="009E6F48">
            <w:pPr>
              <w:pStyle w:val="TableRow"/>
              <w:numPr>
                <w:ilvl w:val="0"/>
                <w:numId w:val="20"/>
              </w:numPr>
              <w:rPr>
                <w:rFonts w:cs="Arial"/>
                <w:iCs/>
                <w:sz w:val="22"/>
                <w:szCs w:val="22"/>
              </w:rPr>
            </w:pPr>
            <w:r w:rsidRPr="00DA0D29">
              <w:rPr>
                <w:rFonts w:cs="Arial"/>
                <w:iCs/>
                <w:sz w:val="22"/>
                <w:szCs w:val="22"/>
              </w:rPr>
              <w:t>Reading intervention to support weaker readers</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F835B" w14:textId="77777777" w:rsidR="00827A7C" w:rsidRPr="00DA0D29" w:rsidRDefault="00C83C64" w:rsidP="00827A7C">
            <w:pPr>
              <w:pStyle w:val="TableRowCentered"/>
              <w:jc w:val="left"/>
              <w:rPr>
                <w:rFonts w:cs="Arial"/>
                <w:sz w:val="22"/>
                <w:szCs w:val="22"/>
              </w:rPr>
            </w:pPr>
            <w:hyperlink r:id="rId11" w:history="1">
              <w:r w:rsidR="00827A7C" w:rsidRPr="00DA0D29">
                <w:rPr>
                  <w:rStyle w:val="Hyperlink"/>
                  <w:rFonts w:cs="Arial"/>
                  <w:sz w:val="22"/>
                  <w:szCs w:val="22"/>
                </w:rPr>
                <w:t>https://educationendowmentfoundation.org.uk/education-evidence/teaching-learning-toolkit/reading-comprehension-strategies</w:t>
              </w:r>
            </w:hyperlink>
            <w:r w:rsidR="00827A7C" w:rsidRPr="00DA0D29">
              <w:rPr>
                <w:rFonts w:cs="Arial"/>
                <w:sz w:val="22"/>
                <w:szCs w:val="22"/>
              </w:rPr>
              <w:t>: ‘</w:t>
            </w:r>
            <w:r w:rsidR="00827A7C" w:rsidRPr="00DA0D29">
              <w:rPr>
                <w:rFonts w:cs="Arial"/>
                <w:i/>
                <w:iCs/>
                <w:sz w:val="22"/>
                <w:szCs w:val="22"/>
              </w:rPr>
              <w:t>Studies in England have shown that pupils eligible for free school meals may receive additional benefits from being taught how to use reading comprehension strategies…However, we know that on average, disadvantaged children are less likely to own a book of their own and read at home with family members, and for these reasons may not acquire the necessary skills for reading and understanding challenging texts’</w:t>
            </w:r>
            <w:r w:rsidR="00827A7C" w:rsidRPr="00DA0D29">
              <w:rPr>
                <w:rFonts w:cs="Arial"/>
                <w:sz w:val="22"/>
                <w:szCs w:val="22"/>
              </w:rPr>
              <w:t xml:space="preserve"> </w:t>
            </w:r>
          </w:p>
          <w:p w14:paraId="353F7746" w14:textId="77777777" w:rsidR="00827A7C" w:rsidRPr="00DA0D29" w:rsidRDefault="00827A7C" w:rsidP="00C5291A">
            <w:pPr>
              <w:suppressAutoHyphens w:val="0"/>
              <w:autoSpaceDN/>
              <w:spacing w:before="60" w:after="60" w:line="240" w:lineRule="auto"/>
              <w:ind w:left="57" w:right="57"/>
              <w:rPr>
                <w:rFonts w:cs="Arial"/>
                <w:color w:val="auto"/>
                <w:sz w:val="22"/>
                <w:szCs w:val="22"/>
              </w:rPr>
            </w:pPr>
          </w:p>
          <w:p w14:paraId="43564E09" w14:textId="6093DB1D" w:rsidR="000461A4" w:rsidRPr="00DA0D29" w:rsidRDefault="00C83C64" w:rsidP="000461A4">
            <w:pPr>
              <w:suppressAutoHyphens w:val="0"/>
              <w:autoSpaceDN/>
              <w:spacing w:before="60" w:after="60" w:line="240" w:lineRule="auto"/>
              <w:ind w:left="57" w:right="57"/>
              <w:rPr>
                <w:rStyle w:val="Hyperlink"/>
                <w:rFonts w:cs="Arial"/>
                <w:sz w:val="22"/>
                <w:szCs w:val="22"/>
              </w:rPr>
            </w:pPr>
            <w:hyperlink r:id="rId12" w:history="1">
              <w:r w:rsidR="000461A4" w:rsidRPr="00DA0D29">
                <w:rPr>
                  <w:rStyle w:val="Hyperlink"/>
                  <w:rFonts w:cs="Arial"/>
                  <w:sz w:val="22"/>
                  <w:szCs w:val="22"/>
                </w:rPr>
                <w:t>https://assets.publishing.service.gov.uk/government/uploads/system/uploads/attachment_data/file/284286/reading_for_pleasure.pdf</w:t>
              </w:r>
            </w:hyperlink>
            <w:r w:rsidR="00827A7C" w:rsidRPr="00DA0D29">
              <w:rPr>
                <w:rStyle w:val="Hyperlink"/>
                <w:rFonts w:cs="Arial"/>
                <w:sz w:val="22"/>
                <w:szCs w:val="22"/>
              </w:rPr>
              <w:t xml:space="preserve">: </w:t>
            </w:r>
          </w:p>
          <w:p w14:paraId="5355DB6D" w14:textId="137CCC41" w:rsidR="00827A7C" w:rsidRPr="00DA0D29" w:rsidRDefault="00827A7C" w:rsidP="00827A7C">
            <w:pPr>
              <w:suppressAutoHyphens w:val="0"/>
              <w:autoSpaceDN/>
              <w:spacing w:before="60" w:after="60" w:line="240" w:lineRule="auto"/>
              <w:ind w:left="57" w:right="57"/>
              <w:rPr>
                <w:rFonts w:cs="Arial"/>
                <w:i/>
                <w:iCs/>
                <w:color w:val="auto"/>
                <w:sz w:val="22"/>
                <w:szCs w:val="22"/>
              </w:rPr>
            </w:pPr>
            <w:r w:rsidRPr="00DA0D29">
              <w:rPr>
                <w:rFonts w:cs="Arial"/>
                <w:i/>
                <w:iCs/>
                <w:color w:val="auto"/>
                <w:sz w:val="22"/>
                <w:szCs w:val="22"/>
              </w:rPr>
              <w:t>‘There is a growing body of evidence which illustrates the importance of reading for pleasure for both educational purposes as well as personal development … Reading enjoyment has been reported as more important for children’s educational success than their family’s socio-economic status (OECD, 2002).’</w:t>
            </w:r>
          </w:p>
          <w:p w14:paraId="4BF0F42C" w14:textId="77777777" w:rsidR="00517E50" w:rsidRPr="00DA0D29" w:rsidRDefault="00517E50" w:rsidP="00517E50">
            <w:pPr>
              <w:suppressAutoHyphens w:val="0"/>
              <w:autoSpaceDN/>
              <w:spacing w:before="60" w:after="60" w:line="240" w:lineRule="auto"/>
              <w:ind w:right="57"/>
              <w:rPr>
                <w:rFonts w:cs="Arial"/>
                <w:color w:val="auto"/>
                <w:sz w:val="22"/>
                <w:szCs w:val="22"/>
              </w:rPr>
            </w:pPr>
          </w:p>
          <w:p w14:paraId="2585CC95" w14:textId="5C5104D5" w:rsidR="00827A7C" w:rsidRPr="00DA0D29" w:rsidRDefault="00C83C64" w:rsidP="00827A7C">
            <w:pPr>
              <w:pStyle w:val="TableRowCentered"/>
              <w:ind w:left="0"/>
              <w:jc w:val="left"/>
              <w:rPr>
                <w:rFonts w:cs="Arial"/>
                <w:color w:val="0070C0"/>
                <w:sz w:val="22"/>
                <w:szCs w:val="22"/>
                <w:u w:val="single"/>
              </w:rPr>
            </w:pPr>
            <w:hyperlink r:id="rId13" w:history="1">
              <w:r w:rsidR="00827A7C" w:rsidRPr="00DA0D29">
                <w:rPr>
                  <w:rFonts w:cs="Arial"/>
                  <w:color w:val="0070C0"/>
                  <w:sz w:val="22"/>
                  <w:szCs w:val="22"/>
                  <w:u w:val="single"/>
                </w:rPr>
                <w:t>word-gap.pdf (oup.com.cn)</w:t>
              </w:r>
            </w:hyperlink>
            <w:r w:rsidR="00827A7C" w:rsidRPr="00DA0D29">
              <w:rPr>
                <w:rFonts w:cs="Arial"/>
                <w:color w:val="0070C0"/>
                <w:sz w:val="22"/>
                <w:szCs w:val="22"/>
                <w:u w:val="single"/>
              </w:rPr>
              <w:t>:</w:t>
            </w:r>
          </w:p>
          <w:p w14:paraId="43BF2B3F" w14:textId="7589D5BB" w:rsidR="00827A7C" w:rsidRPr="00DA0D29" w:rsidRDefault="00827A7C" w:rsidP="000461A4">
            <w:pPr>
              <w:pStyle w:val="TableRowCentered"/>
              <w:jc w:val="left"/>
              <w:rPr>
                <w:rFonts w:cs="Arial"/>
                <w:i/>
                <w:iCs/>
                <w:color w:val="0070C0"/>
                <w:sz w:val="22"/>
                <w:szCs w:val="22"/>
                <w:u w:val="single"/>
              </w:rPr>
            </w:pPr>
            <w:r w:rsidRPr="00DA0D29">
              <w:rPr>
                <w:rFonts w:cs="Arial"/>
                <w:i/>
                <w:iCs/>
                <w:sz w:val="22"/>
                <w:szCs w:val="22"/>
              </w:rPr>
              <w:t xml:space="preserve">‘Besides the effect on academic work, both primary and secondary teachers observed that low levels of vocabulary also impede pupils’ wider life chances and mental health. </w:t>
            </w:r>
            <w:proofErr w:type="spellStart"/>
            <w:r w:rsidRPr="00DA0D29">
              <w:rPr>
                <w:rFonts w:cs="Arial"/>
                <w:i/>
                <w:iCs/>
                <w:sz w:val="22"/>
                <w:szCs w:val="22"/>
              </w:rPr>
              <w:t>Self esteem</w:t>
            </w:r>
            <w:proofErr w:type="spellEnd"/>
            <w:r w:rsidRPr="00DA0D29">
              <w:rPr>
                <w:rFonts w:cs="Arial"/>
                <w:i/>
                <w:iCs/>
                <w:sz w:val="22"/>
                <w:szCs w:val="22"/>
              </w:rPr>
              <w:t>, behaviour and a child’s ability to make friends were all felt to be negatively affected by low levels of vocabulary’</w:t>
            </w:r>
          </w:p>
          <w:p w14:paraId="49C851D2" w14:textId="77777777" w:rsidR="00827A7C" w:rsidRDefault="00827A7C" w:rsidP="00827A7C">
            <w:pPr>
              <w:pStyle w:val="TableRowCentered"/>
              <w:jc w:val="left"/>
              <w:rPr>
                <w:rFonts w:cs="Arial"/>
                <w:sz w:val="22"/>
                <w:szCs w:val="22"/>
              </w:rPr>
            </w:pPr>
          </w:p>
          <w:p w14:paraId="1A478271" w14:textId="77AA3259" w:rsidR="00CA30C3" w:rsidRPr="00CA30C3" w:rsidRDefault="00CA30C3" w:rsidP="00CA30C3">
            <w:pPr>
              <w:pStyle w:val="TableRowCentered"/>
              <w:jc w:val="left"/>
              <w:rPr>
                <w:sz w:val="18"/>
                <w:szCs w:val="18"/>
              </w:rPr>
            </w:pPr>
            <w:proofErr w:type="gramStart"/>
            <w:r w:rsidRPr="00CA30C3">
              <w:rPr>
                <w:sz w:val="18"/>
                <w:szCs w:val="18"/>
              </w:rPr>
              <w:t>https://educationendowmentfoundation.org.uk/news/attendance-and-reading-key-barriers-to-disadvantaged-pupils-progress-say-three-in-four-schools :</w:t>
            </w:r>
            <w:proofErr w:type="gramEnd"/>
            <w:r w:rsidRPr="00CA30C3">
              <w:rPr>
                <w:sz w:val="18"/>
                <w:szCs w:val="18"/>
              </w:rPr>
              <w:t xml:space="preserve"> </w:t>
            </w:r>
            <w:r>
              <w:rPr>
                <w:sz w:val="18"/>
                <w:szCs w:val="18"/>
              </w:rPr>
              <w:t xml:space="preserve"> </w:t>
            </w:r>
            <w:r w:rsidRPr="00CA30C3">
              <w:rPr>
                <w:i/>
                <w:iCs/>
                <w:sz w:val="22"/>
                <w:szCs w:val="22"/>
              </w:rPr>
              <w:t xml:space="preserve">Three quarters of schools in England say poor attendance and low-reading levels are the biggest challenges affecting their socio-economically disadvantaged pupils’ academic achievement. </w:t>
            </w:r>
          </w:p>
          <w:p w14:paraId="6A16BFCE" w14:textId="60557723" w:rsidR="00CA30C3" w:rsidRPr="00DA0D29" w:rsidRDefault="00CA30C3" w:rsidP="00827A7C">
            <w:pPr>
              <w:pStyle w:val="TableRowCentered"/>
              <w:jc w:val="left"/>
              <w:rPr>
                <w:rFonts w:cs="Arial"/>
                <w:sz w:val="22"/>
                <w:szCs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1FE0" w14:textId="4F201B76" w:rsidR="00A22E48" w:rsidRPr="00DA0D29" w:rsidRDefault="00A62C1C" w:rsidP="00A0732A">
            <w:pPr>
              <w:pStyle w:val="TableRowCentered"/>
              <w:ind w:left="0"/>
              <w:jc w:val="left"/>
              <w:rPr>
                <w:rFonts w:cs="Arial"/>
                <w:sz w:val="22"/>
                <w:szCs w:val="22"/>
              </w:rPr>
            </w:pPr>
            <w:r>
              <w:rPr>
                <w:rFonts w:cs="Arial"/>
                <w:sz w:val="22"/>
                <w:szCs w:val="22"/>
              </w:rPr>
              <w:t>3</w:t>
            </w:r>
          </w:p>
        </w:tc>
      </w:tr>
      <w:tr w:rsidR="00754C6D" w:rsidRPr="00DA0D29" w14:paraId="016E14F4" w14:textId="77777777" w:rsidTr="006A4965">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74C78" w14:textId="77777777" w:rsidR="00754C6D" w:rsidRPr="00DA0D29" w:rsidRDefault="00517E50" w:rsidP="00323A8C">
            <w:pPr>
              <w:pStyle w:val="TableRow"/>
              <w:rPr>
                <w:rFonts w:cs="Arial"/>
                <w:iCs/>
                <w:sz w:val="22"/>
                <w:szCs w:val="22"/>
              </w:rPr>
            </w:pPr>
            <w:r w:rsidRPr="00DA0D29">
              <w:rPr>
                <w:rFonts w:cs="Arial"/>
                <w:iCs/>
                <w:sz w:val="22"/>
                <w:szCs w:val="22"/>
              </w:rPr>
              <w:t>Development of EAL provision to support disadvantaged students, particularly refugee children.</w:t>
            </w:r>
          </w:p>
          <w:p w14:paraId="423F97A5" w14:textId="41080B8F" w:rsidR="00517E50" w:rsidRPr="00DA0D29" w:rsidRDefault="00517E50" w:rsidP="00517E50">
            <w:pPr>
              <w:pStyle w:val="TableRow"/>
              <w:numPr>
                <w:ilvl w:val="0"/>
                <w:numId w:val="20"/>
              </w:numPr>
              <w:rPr>
                <w:rFonts w:cs="Arial"/>
                <w:iCs/>
                <w:sz w:val="22"/>
                <w:szCs w:val="22"/>
              </w:rPr>
            </w:pPr>
            <w:r w:rsidRPr="00DA0D29">
              <w:rPr>
                <w:rFonts w:cs="Arial"/>
                <w:iCs/>
                <w:sz w:val="22"/>
                <w:szCs w:val="22"/>
              </w:rPr>
              <w:t>Formal assessment of language need on arrival in school</w:t>
            </w:r>
          </w:p>
          <w:p w14:paraId="20EF403E" w14:textId="7E49FB3A" w:rsidR="00517E50" w:rsidRPr="00DA0D29" w:rsidRDefault="00517E50" w:rsidP="00517E50">
            <w:pPr>
              <w:pStyle w:val="TableRow"/>
              <w:numPr>
                <w:ilvl w:val="0"/>
                <w:numId w:val="20"/>
              </w:numPr>
              <w:rPr>
                <w:rFonts w:cs="Arial"/>
                <w:iCs/>
                <w:sz w:val="22"/>
                <w:szCs w:val="22"/>
              </w:rPr>
            </w:pPr>
            <w:r w:rsidRPr="00DA0D29">
              <w:rPr>
                <w:rFonts w:cs="Arial"/>
                <w:iCs/>
                <w:sz w:val="22"/>
                <w:szCs w:val="22"/>
              </w:rPr>
              <w:t>Specific EAL support sessions to develop understanding of English</w:t>
            </w:r>
          </w:p>
          <w:p w14:paraId="4977E2D7" w14:textId="0562DF0D" w:rsidR="00517E50" w:rsidRPr="00DA0D29" w:rsidRDefault="00517E50" w:rsidP="00517E50">
            <w:pPr>
              <w:pStyle w:val="TableRow"/>
              <w:numPr>
                <w:ilvl w:val="0"/>
                <w:numId w:val="20"/>
              </w:numPr>
              <w:rPr>
                <w:rFonts w:cs="Arial"/>
                <w:iCs/>
                <w:sz w:val="22"/>
                <w:szCs w:val="22"/>
              </w:rPr>
            </w:pPr>
            <w:r w:rsidRPr="00DA0D29">
              <w:rPr>
                <w:rFonts w:cs="Arial"/>
                <w:iCs/>
                <w:sz w:val="22"/>
                <w:szCs w:val="22"/>
              </w:rPr>
              <w:t>Training and resources for all staff to support EAL students in lessons</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B4B3" w14:textId="2DA6DD64" w:rsidR="00517E50" w:rsidRPr="00DA0D29" w:rsidRDefault="00517E50" w:rsidP="000461A4">
            <w:pPr>
              <w:suppressAutoHyphens w:val="0"/>
              <w:autoSpaceDN/>
              <w:spacing w:before="60" w:after="60" w:line="240" w:lineRule="auto"/>
              <w:ind w:left="57" w:right="57"/>
              <w:rPr>
                <w:rFonts w:cs="Arial"/>
                <w:i/>
                <w:iCs/>
                <w:color w:val="auto"/>
                <w:sz w:val="22"/>
                <w:szCs w:val="22"/>
              </w:rPr>
            </w:pPr>
            <w:r w:rsidRPr="00DA0D29">
              <w:rPr>
                <w:rFonts w:cs="Arial"/>
                <w:i/>
                <w:iCs/>
                <w:color w:val="auto"/>
                <w:sz w:val="22"/>
                <w:szCs w:val="22"/>
              </w:rPr>
              <w:t>Learners’ proficiency in English is closely linked to academic success – Research has found that proficiency in English is the strongest predictor of academic achievement</w:t>
            </w:r>
            <w:r w:rsidR="00DA0D29">
              <w:rPr>
                <w:rFonts w:cs="Arial"/>
                <w:i/>
                <w:iCs/>
                <w:color w:val="auto"/>
                <w:sz w:val="22"/>
                <w:szCs w:val="22"/>
              </w:rPr>
              <w:t>.</w:t>
            </w:r>
          </w:p>
          <w:p w14:paraId="5F798368" w14:textId="77777777" w:rsidR="00250D34" w:rsidRPr="00DA0D29" w:rsidRDefault="00517E50" w:rsidP="000461A4">
            <w:pPr>
              <w:suppressAutoHyphens w:val="0"/>
              <w:autoSpaceDN/>
              <w:spacing w:before="60" w:after="60" w:line="240" w:lineRule="auto"/>
              <w:ind w:left="57" w:right="57"/>
              <w:rPr>
                <w:rFonts w:cs="Arial"/>
                <w:color w:val="auto"/>
                <w:sz w:val="22"/>
                <w:szCs w:val="22"/>
              </w:rPr>
            </w:pPr>
            <w:r w:rsidRPr="00DA0D29">
              <w:rPr>
                <w:rFonts w:cs="Arial"/>
                <w:color w:val="auto"/>
                <w:sz w:val="22"/>
                <w:szCs w:val="22"/>
              </w:rPr>
              <w:t xml:space="preserve">(Strand and Hessel, 2018) </w:t>
            </w:r>
          </w:p>
          <w:p w14:paraId="7FCF0B7D" w14:textId="2DC65081" w:rsidR="00754C6D" w:rsidRPr="00DA0D29" w:rsidRDefault="00C83C64" w:rsidP="000461A4">
            <w:pPr>
              <w:suppressAutoHyphens w:val="0"/>
              <w:autoSpaceDN/>
              <w:spacing w:before="60" w:after="60" w:line="240" w:lineRule="auto"/>
              <w:ind w:left="57" w:right="57"/>
              <w:rPr>
                <w:rFonts w:cs="Arial"/>
                <w:color w:val="auto"/>
                <w:sz w:val="22"/>
                <w:szCs w:val="22"/>
              </w:rPr>
            </w:pPr>
            <w:hyperlink r:id="rId14" w:history="1">
              <w:r w:rsidR="00250D34" w:rsidRPr="00DA0D29">
                <w:rPr>
                  <w:rStyle w:val="Hyperlink"/>
                  <w:rFonts w:cs="Arial"/>
                  <w:sz w:val="22"/>
                  <w:szCs w:val="22"/>
                </w:rPr>
                <w:t>https://www.bell-foundation.org.uk/eal-programme/research/english-as-an-additional-language-proficiency-in-english-and-pupils-educational-achievement-an-analysis-of-local-authority-data/</w:t>
              </w:r>
            </w:hyperlink>
            <w:r w:rsidR="00827A7C" w:rsidRPr="00DA0D29">
              <w:rPr>
                <w:rStyle w:val="Hyperlink"/>
                <w:rFonts w:cs="Arial"/>
                <w:sz w:val="22"/>
                <w:szCs w:val="22"/>
              </w:rPr>
              <w:t xml:space="preserve">: </w:t>
            </w:r>
          </w:p>
          <w:p w14:paraId="37A7CBAE" w14:textId="1857DD28" w:rsidR="00517E50" w:rsidRPr="00DA0D29" w:rsidRDefault="00DA0D29" w:rsidP="000461A4">
            <w:pPr>
              <w:suppressAutoHyphens w:val="0"/>
              <w:autoSpaceDN/>
              <w:spacing w:before="60" w:after="60" w:line="240" w:lineRule="auto"/>
              <w:ind w:left="57" w:right="57"/>
              <w:rPr>
                <w:rFonts w:cs="Arial"/>
                <w:i/>
                <w:iCs/>
                <w:color w:val="auto"/>
                <w:sz w:val="22"/>
                <w:szCs w:val="22"/>
                <w:shd w:val="clear" w:color="auto" w:fill="FFFFFF"/>
              </w:rPr>
            </w:pPr>
            <w:r w:rsidRPr="00DA0D29">
              <w:rPr>
                <w:rFonts w:cs="Arial"/>
                <w:i/>
                <w:iCs/>
                <w:color w:val="auto"/>
                <w:sz w:val="22"/>
                <w:szCs w:val="22"/>
                <w:shd w:val="clear" w:color="auto" w:fill="FFFFFF"/>
              </w:rPr>
              <w:t>‘</w:t>
            </w:r>
            <w:proofErr w:type="gramStart"/>
            <w:r w:rsidRPr="00DA0D29">
              <w:rPr>
                <w:rFonts w:cs="Arial"/>
                <w:i/>
                <w:iCs/>
                <w:color w:val="auto"/>
                <w:sz w:val="22"/>
                <w:szCs w:val="22"/>
                <w:shd w:val="clear" w:color="auto" w:fill="FFFFFF"/>
              </w:rPr>
              <w:t>proficiency</w:t>
            </w:r>
            <w:proofErr w:type="gramEnd"/>
            <w:r w:rsidRPr="00DA0D29">
              <w:rPr>
                <w:rFonts w:cs="Arial"/>
                <w:i/>
                <w:iCs/>
                <w:color w:val="auto"/>
                <w:sz w:val="22"/>
                <w:szCs w:val="22"/>
                <w:shd w:val="clear" w:color="auto" w:fill="FFFFFF"/>
              </w:rPr>
              <w:t xml:space="preserve"> in English can explain 22% of the variation in EAL pupils’ achievement compared to the typical 3-4% that can be statistically explained using gender, free school meal status and ethnicity.’</w:t>
            </w:r>
          </w:p>
          <w:p w14:paraId="7DCC03B2" w14:textId="77777777" w:rsidR="00DA0D29" w:rsidRPr="00DA0D29" w:rsidRDefault="00DA0D29" w:rsidP="000461A4">
            <w:pPr>
              <w:suppressAutoHyphens w:val="0"/>
              <w:autoSpaceDN/>
              <w:spacing w:before="60" w:after="60" w:line="240" w:lineRule="auto"/>
              <w:ind w:left="57" w:right="57"/>
              <w:rPr>
                <w:rFonts w:cs="Arial"/>
                <w:i/>
                <w:iCs/>
                <w:color w:val="auto"/>
                <w:sz w:val="22"/>
                <w:szCs w:val="22"/>
              </w:rPr>
            </w:pPr>
          </w:p>
          <w:p w14:paraId="1B939D08" w14:textId="77777777" w:rsidR="00DA0D29" w:rsidRDefault="00C83C64" w:rsidP="00DA0D29">
            <w:pPr>
              <w:suppressAutoHyphens w:val="0"/>
              <w:autoSpaceDN/>
              <w:spacing w:before="60" w:after="60" w:line="240" w:lineRule="auto"/>
              <w:ind w:left="57" w:right="57"/>
              <w:rPr>
                <w:rFonts w:cs="Arial"/>
                <w:i/>
                <w:iCs/>
                <w:color w:val="auto"/>
                <w:sz w:val="22"/>
                <w:szCs w:val="22"/>
              </w:rPr>
            </w:pPr>
            <w:hyperlink r:id="rId15" w:history="1">
              <w:r w:rsidR="00517E50" w:rsidRPr="00DA0D29">
                <w:rPr>
                  <w:rStyle w:val="Hyperlink"/>
                  <w:rFonts w:cs="Arial"/>
                  <w:sz w:val="22"/>
                  <w:szCs w:val="22"/>
                </w:rPr>
                <w:t>English as an additional language (EAL) | EEF (educationendowmentfoundation.org.uk)</w:t>
              </w:r>
            </w:hyperlink>
            <w:r w:rsidR="00DA0D29" w:rsidRPr="00DA0D29">
              <w:rPr>
                <w:rStyle w:val="Hyperlink"/>
                <w:rFonts w:cs="Arial"/>
                <w:sz w:val="22"/>
                <w:szCs w:val="22"/>
              </w:rPr>
              <w:t xml:space="preserve">: </w:t>
            </w:r>
            <w:r w:rsidR="00DA0D29" w:rsidRPr="00DA0D29">
              <w:rPr>
                <w:rStyle w:val="Hyperlink"/>
                <w:rFonts w:cs="Arial"/>
                <w:i/>
                <w:iCs/>
                <w:sz w:val="22"/>
                <w:szCs w:val="22"/>
              </w:rPr>
              <w:t>‘</w:t>
            </w:r>
            <w:r w:rsidR="00DA0D29" w:rsidRPr="00DA0D29">
              <w:rPr>
                <w:rFonts w:cs="Arial"/>
                <w:i/>
                <w:iCs/>
                <w:color w:val="auto"/>
                <w:sz w:val="22"/>
                <w:szCs w:val="22"/>
              </w:rPr>
              <w:t xml:space="preserve">there is considerable research evidence from England showing that a student's fluency in English is a key predictor of their achievement in national tests at age 11 (e.g. Strand &amp; </w:t>
            </w:r>
            <w:proofErr w:type="spellStart"/>
            <w:r w:rsidR="00DA0D29" w:rsidRPr="00DA0D29">
              <w:rPr>
                <w:rFonts w:cs="Arial"/>
                <w:i/>
                <w:iCs/>
                <w:color w:val="auto"/>
                <w:sz w:val="22"/>
                <w:szCs w:val="22"/>
              </w:rPr>
              <w:t>Demie</w:t>
            </w:r>
            <w:proofErr w:type="spellEnd"/>
            <w:r w:rsidR="00DA0D29" w:rsidRPr="00DA0D29">
              <w:rPr>
                <w:rFonts w:cs="Arial"/>
                <w:i/>
                <w:iCs/>
                <w:color w:val="auto"/>
                <w:sz w:val="22"/>
                <w:szCs w:val="22"/>
              </w:rPr>
              <w:t xml:space="preserve">, 2005) and in pubic examinations at age 16 (e.g. </w:t>
            </w:r>
            <w:proofErr w:type="spellStart"/>
            <w:r w:rsidR="00DA0D29" w:rsidRPr="00DA0D29">
              <w:rPr>
                <w:rFonts w:cs="Arial"/>
                <w:i/>
                <w:iCs/>
                <w:color w:val="auto"/>
                <w:sz w:val="22"/>
                <w:szCs w:val="22"/>
              </w:rPr>
              <w:t>Demie</w:t>
            </w:r>
            <w:proofErr w:type="spellEnd"/>
            <w:r w:rsidR="00DA0D29" w:rsidRPr="00DA0D29">
              <w:rPr>
                <w:rFonts w:cs="Arial"/>
                <w:i/>
                <w:iCs/>
                <w:color w:val="auto"/>
                <w:sz w:val="22"/>
                <w:szCs w:val="22"/>
              </w:rPr>
              <w:t xml:space="preserve"> &amp; Strand, 2006)’ ‘It is the individual variability within the EAL group that is important in identifying need, and this requires EAL to be considered alongside a wide range of other student background variables. Risk factors include entitlement to FSM.</w:t>
            </w:r>
            <w:r w:rsidR="00DA0D29" w:rsidRPr="00DA0D29">
              <w:rPr>
                <w:rFonts w:cs="Arial"/>
                <w:i/>
                <w:iCs/>
                <w:sz w:val="22"/>
                <w:szCs w:val="22"/>
              </w:rPr>
              <w:t xml:space="preserve"> </w:t>
            </w:r>
            <w:r w:rsidR="00DA0D29" w:rsidRPr="00DA0D29">
              <w:rPr>
                <w:rFonts w:cs="Arial"/>
                <w:i/>
                <w:iCs/>
                <w:color w:val="auto"/>
                <w:sz w:val="22"/>
                <w:szCs w:val="22"/>
              </w:rPr>
              <w:t>Students entitled to FSM on average scored about 0.90 points (3 NC months) lower than those not entitled to FSM.’</w:t>
            </w:r>
          </w:p>
          <w:p w14:paraId="17463371" w14:textId="5DE0FE96" w:rsidR="00122B11" w:rsidRPr="00DA0D29" w:rsidRDefault="00122B11" w:rsidP="00DA0D29">
            <w:pPr>
              <w:suppressAutoHyphens w:val="0"/>
              <w:autoSpaceDN/>
              <w:spacing w:before="60" w:after="60" w:line="240" w:lineRule="auto"/>
              <w:ind w:left="57" w:right="57"/>
              <w:rPr>
                <w:rFonts w:cs="Arial"/>
                <w:i/>
                <w:iCs/>
                <w:color w:val="auto"/>
                <w:sz w:val="22"/>
                <w:szCs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27A6" w14:textId="76CFE9B5" w:rsidR="00754C6D" w:rsidRPr="00DA0D29" w:rsidRDefault="000B16AC" w:rsidP="00A0732A">
            <w:pPr>
              <w:pStyle w:val="TableRowCentered"/>
              <w:ind w:left="0"/>
              <w:jc w:val="left"/>
              <w:rPr>
                <w:rFonts w:cs="Arial"/>
                <w:sz w:val="22"/>
                <w:szCs w:val="22"/>
              </w:rPr>
            </w:pPr>
            <w:r>
              <w:rPr>
                <w:rFonts w:cs="Arial"/>
                <w:sz w:val="22"/>
                <w:szCs w:val="22"/>
              </w:rPr>
              <w:t>1,</w:t>
            </w:r>
            <w:r w:rsidR="00A62C1C">
              <w:rPr>
                <w:rFonts w:cs="Arial"/>
                <w:sz w:val="22"/>
                <w:szCs w:val="22"/>
              </w:rPr>
              <w:t>3</w:t>
            </w:r>
          </w:p>
        </w:tc>
      </w:tr>
      <w:tr w:rsidR="006A4965" w:rsidRPr="00DA0D29" w14:paraId="5EBD2FBF" w14:textId="77777777" w:rsidTr="00EB2142">
        <w:tc>
          <w:tcPr>
            <w:tcW w:w="9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578AE" w14:textId="77777777" w:rsidR="00C5291A" w:rsidRPr="00DA0D29" w:rsidRDefault="00C5291A" w:rsidP="006A4965">
            <w:pPr>
              <w:pStyle w:val="TableRow"/>
              <w:ind w:left="0"/>
              <w:rPr>
                <w:rFonts w:cs="Arial"/>
                <w:iCs/>
                <w:sz w:val="22"/>
                <w:szCs w:val="22"/>
                <w:u w:val="single"/>
              </w:rPr>
            </w:pPr>
          </w:p>
          <w:p w14:paraId="161C6219" w14:textId="10D491F2" w:rsidR="006A4965" w:rsidRPr="00DA0D29" w:rsidRDefault="006A4965" w:rsidP="006A4965">
            <w:pPr>
              <w:pStyle w:val="TableRow"/>
              <w:ind w:left="0"/>
              <w:rPr>
                <w:rFonts w:cs="Arial"/>
                <w:iCs/>
                <w:sz w:val="22"/>
                <w:szCs w:val="22"/>
                <w:u w:val="single"/>
              </w:rPr>
            </w:pPr>
            <w:r w:rsidRPr="00DA0D29">
              <w:rPr>
                <w:rFonts w:cs="Arial"/>
                <w:iCs/>
                <w:sz w:val="22"/>
                <w:szCs w:val="22"/>
                <w:u w:val="single"/>
              </w:rPr>
              <w:t xml:space="preserve">Planned evaluation of </w:t>
            </w:r>
            <w:r w:rsidR="00C5291A" w:rsidRPr="00DA0D29">
              <w:rPr>
                <w:rFonts w:cs="Arial"/>
                <w:iCs/>
                <w:sz w:val="22"/>
                <w:szCs w:val="22"/>
                <w:u w:val="single"/>
              </w:rPr>
              <w:t xml:space="preserve">teaching and learning </w:t>
            </w:r>
            <w:r w:rsidRPr="00DA0D29">
              <w:rPr>
                <w:rFonts w:cs="Arial"/>
                <w:iCs/>
                <w:sz w:val="22"/>
                <w:szCs w:val="22"/>
                <w:u w:val="single"/>
              </w:rPr>
              <w:t>activities</w:t>
            </w:r>
          </w:p>
          <w:p w14:paraId="45F9638C" w14:textId="77777777" w:rsidR="00C5291A" w:rsidRDefault="006A4965" w:rsidP="006A4965">
            <w:pPr>
              <w:pStyle w:val="TableRowCentered"/>
              <w:ind w:left="0"/>
              <w:jc w:val="left"/>
              <w:rPr>
                <w:rFonts w:cs="Arial"/>
                <w:iCs/>
                <w:sz w:val="22"/>
                <w:szCs w:val="22"/>
              </w:rPr>
            </w:pPr>
            <w:r w:rsidRPr="00DA0D29">
              <w:rPr>
                <w:rFonts w:cs="Arial"/>
                <w:iCs/>
                <w:sz w:val="22"/>
                <w:szCs w:val="22"/>
              </w:rPr>
              <w:t xml:space="preserve">Regular review of effectiveness of curricular provision for disadvantaged students through bi-weekly Attainment and Inclusion meetings and </w:t>
            </w:r>
            <w:r w:rsidR="00C5291A" w:rsidRPr="00DA0D29">
              <w:rPr>
                <w:rFonts w:cs="Arial"/>
                <w:iCs/>
                <w:sz w:val="22"/>
                <w:szCs w:val="22"/>
              </w:rPr>
              <w:t xml:space="preserve">the whole school </w:t>
            </w:r>
            <w:r w:rsidRPr="00DA0D29">
              <w:rPr>
                <w:rFonts w:cs="Arial"/>
                <w:iCs/>
                <w:sz w:val="22"/>
                <w:szCs w:val="22"/>
              </w:rPr>
              <w:t xml:space="preserve">monitoring and evaluation </w:t>
            </w:r>
            <w:r w:rsidR="00C5291A" w:rsidRPr="00DA0D29">
              <w:rPr>
                <w:rFonts w:cs="Arial"/>
                <w:iCs/>
                <w:sz w:val="22"/>
                <w:szCs w:val="22"/>
              </w:rPr>
              <w:t>calendar</w:t>
            </w:r>
            <w:r w:rsidRPr="00DA0D29">
              <w:rPr>
                <w:rFonts w:cs="Arial"/>
                <w:iCs/>
                <w:sz w:val="22"/>
                <w:szCs w:val="22"/>
              </w:rPr>
              <w:t>.</w:t>
            </w:r>
          </w:p>
          <w:p w14:paraId="53C59A4C" w14:textId="2168A11C" w:rsidR="00DA0D29" w:rsidRPr="00DA0D29" w:rsidRDefault="00DA0D29" w:rsidP="006A4965">
            <w:pPr>
              <w:pStyle w:val="TableRowCentered"/>
              <w:ind w:left="0"/>
              <w:jc w:val="left"/>
              <w:rPr>
                <w:rFonts w:cs="Arial"/>
                <w:iCs/>
                <w:sz w:val="22"/>
                <w:szCs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28EA83C" w:rsidR="00E66558" w:rsidRDefault="009D71E8">
      <w:r>
        <w:t xml:space="preserve">Budgeted cost: </w:t>
      </w:r>
      <w:r w:rsidRPr="00D80330">
        <w:t>£</w:t>
      </w:r>
      <w:r w:rsidR="00A62C1C">
        <w:rPr>
          <w:iCs/>
        </w:rPr>
        <w:t>42,630</w:t>
      </w:r>
    </w:p>
    <w:tbl>
      <w:tblPr>
        <w:tblW w:w="5078" w:type="pct"/>
        <w:tblCellMar>
          <w:left w:w="10" w:type="dxa"/>
          <w:right w:w="10" w:type="dxa"/>
        </w:tblCellMar>
        <w:tblLook w:val="04A0" w:firstRow="1" w:lastRow="0" w:firstColumn="1" w:lastColumn="0" w:noHBand="0" w:noVBand="1"/>
      </w:tblPr>
      <w:tblGrid>
        <w:gridCol w:w="2305"/>
        <w:gridCol w:w="5871"/>
        <w:gridCol w:w="1458"/>
      </w:tblGrid>
      <w:tr w:rsidR="00E66558" w:rsidRPr="00AC06E0" w14:paraId="2A7D5528" w14:textId="77777777" w:rsidTr="00A677BF">
        <w:tc>
          <w:tcPr>
            <w:tcW w:w="22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AC06E0" w:rsidRDefault="009D71E8">
            <w:pPr>
              <w:pStyle w:val="TableHeader"/>
              <w:jc w:val="left"/>
              <w:rPr>
                <w:sz w:val="22"/>
                <w:szCs w:val="22"/>
              </w:rPr>
            </w:pPr>
            <w:r w:rsidRPr="00AC06E0">
              <w:rPr>
                <w:sz w:val="22"/>
                <w:szCs w:val="22"/>
              </w:rPr>
              <w:t>Activity</w:t>
            </w:r>
          </w:p>
        </w:tc>
        <w:tc>
          <w:tcPr>
            <w:tcW w:w="57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AC06E0" w:rsidRDefault="009D71E8">
            <w:pPr>
              <w:pStyle w:val="TableHeader"/>
              <w:jc w:val="left"/>
              <w:rPr>
                <w:sz w:val="22"/>
                <w:szCs w:val="22"/>
              </w:rPr>
            </w:pPr>
            <w:r w:rsidRPr="00AC06E0">
              <w:rPr>
                <w:sz w:val="22"/>
                <w:szCs w:val="22"/>
              </w:rPr>
              <w:t>Evidence that supports this approach</w:t>
            </w:r>
          </w:p>
        </w:tc>
        <w:tc>
          <w:tcPr>
            <w:tcW w:w="15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AC06E0" w:rsidRDefault="009D71E8">
            <w:pPr>
              <w:pStyle w:val="TableHeader"/>
              <w:jc w:val="left"/>
              <w:rPr>
                <w:sz w:val="22"/>
                <w:szCs w:val="22"/>
              </w:rPr>
            </w:pPr>
            <w:r w:rsidRPr="00AC06E0">
              <w:rPr>
                <w:sz w:val="22"/>
                <w:szCs w:val="22"/>
              </w:rPr>
              <w:t>Challenge number(s) addressed</w:t>
            </w:r>
          </w:p>
        </w:tc>
      </w:tr>
      <w:tr w:rsidR="00517E50" w:rsidRPr="00AC06E0" w14:paraId="0E16C8D1" w14:textId="77777777" w:rsidTr="00A677BF">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823D2" w14:textId="37790825" w:rsidR="00517E50" w:rsidRDefault="00250D34" w:rsidP="008868FF">
            <w:pPr>
              <w:pStyle w:val="TableRow"/>
              <w:rPr>
                <w:sz w:val="22"/>
                <w:szCs w:val="22"/>
              </w:rPr>
            </w:pPr>
            <w:r>
              <w:rPr>
                <w:sz w:val="22"/>
                <w:szCs w:val="22"/>
              </w:rPr>
              <w:t xml:space="preserve">Structured </w:t>
            </w:r>
            <w:r w:rsidR="009E6F48">
              <w:rPr>
                <w:sz w:val="22"/>
                <w:szCs w:val="22"/>
              </w:rPr>
              <w:t xml:space="preserve">form-time </w:t>
            </w:r>
            <w:r>
              <w:rPr>
                <w:sz w:val="22"/>
                <w:szCs w:val="22"/>
              </w:rPr>
              <w:t>intervention from Pupil Premium Advocates</w:t>
            </w:r>
          </w:p>
          <w:p w14:paraId="76CB8997" w14:textId="77777777" w:rsidR="00250D34" w:rsidRDefault="009E6F48" w:rsidP="00250D34">
            <w:pPr>
              <w:pStyle w:val="TableRow"/>
              <w:numPr>
                <w:ilvl w:val="0"/>
                <w:numId w:val="20"/>
              </w:numPr>
              <w:rPr>
                <w:sz w:val="22"/>
                <w:szCs w:val="22"/>
              </w:rPr>
            </w:pPr>
            <w:r>
              <w:rPr>
                <w:sz w:val="22"/>
                <w:szCs w:val="22"/>
              </w:rPr>
              <w:t>One-to-one intervention</w:t>
            </w:r>
          </w:p>
          <w:p w14:paraId="6F7C82CA" w14:textId="77777777" w:rsidR="009E6F48" w:rsidRDefault="009E6F48" w:rsidP="00250D34">
            <w:pPr>
              <w:pStyle w:val="TableRow"/>
              <w:numPr>
                <w:ilvl w:val="0"/>
                <w:numId w:val="20"/>
              </w:numPr>
              <w:rPr>
                <w:sz w:val="22"/>
                <w:szCs w:val="22"/>
              </w:rPr>
            </w:pPr>
            <w:r>
              <w:rPr>
                <w:sz w:val="22"/>
                <w:szCs w:val="22"/>
              </w:rPr>
              <w:t>Small group intervention</w:t>
            </w:r>
          </w:p>
          <w:p w14:paraId="4C0B2627" w14:textId="02BE6895" w:rsidR="009E6F48" w:rsidRPr="009E6F48" w:rsidRDefault="009E6F48" w:rsidP="009E6F48">
            <w:pPr>
              <w:pStyle w:val="TableRow"/>
              <w:numPr>
                <w:ilvl w:val="0"/>
                <w:numId w:val="20"/>
              </w:numPr>
              <w:rPr>
                <w:sz w:val="22"/>
                <w:szCs w:val="22"/>
              </w:rPr>
            </w:pPr>
            <w:r>
              <w:rPr>
                <w:sz w:val="22"/>
                <w:szCs w:val="22"/>
              </w:rPr>
              <w:t>Homework support</w:t>
            </w:r>
          </w:p>
        </w:tc>
        <w:tc>
          <w:tcPr>
            <w:tcW w:w="5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0E98" w14:textId="77777777" w:rsidR="000B16AC" w:rsidRDefault="000B16AC" w:rsidP="00F43A79">
            <w:pPr>
              <w:pStyle w:val="TableRowCentered"/>
              <w:ind w:left="0"/>
              <w:jc w:val="left"/>
              <w:rPr>
                <w:sz w:val="22"/>
                <w:szCs w:val="22"/>
              </w:rPr>
            </w:pPr>
            <w:r w:rsidRPr="000B16AC">
              <w:rPr>
                <w:sz w:val="22"/>
                <w:szCs w:val="22"/>
              </w:rPr>
              <w:t>Intensive support—either one to one or as part of a small group—can support pupil learning if provided in addition to, and explicitly linked with, normal lessons</w:t>
            </w:r>
          </w:p>
          <w:p w14:paraId="4326F052" w14:textId="2675B414" w:rsidR="00517E50" w:rsidRPr="00CA30C3" w:rsidRDefault="00C83C64" w:rsidP="00F43A79">
            <w:pPr>
              <w:pStyle w:val="TableRowCentered"/>
              <w:ind w:left="0"/>
              <w:jc w:val="left"/>
              <w:rPr>
                <w:i/>
                <w:iCs/>
                <w:sz w:val="22"/>
                <w:szCs w:val="22"/>
              </w:rPr>
            </w:pPr>
            <w:hyperlink r:id="rId16" w:history="1">
              <w:r w:rsidR="00F70BAC" w:rsidRPr="0031083B">
                <w:rPr>
                  <w:rStyle w:val="Hyperlink"/>
                  <w:sz w:val="22"/>
                  <w:szCs w:val="22"/>
                </w:rPr>
                <w:t>Behaviour interventions | EEF (educationendowmentfoundation.org.uk)</w:t>
              </w:r>
            </w:hyperlink>
            <w:r w:rsidR="00F70BAC" w:rsidRPr="0031083B">
              <w:rPr>
                <w:sz w:val="22"/>
                <w:szCs w:val="22"/>
              </w:rPr>
              <w:t xml:space="preserve"> </w:t>
            </w:r>
            <w:r w:rsidR="0031083B" w:rsidRPr="0031083B">
              <w:rPr>
                <w:sz w:val="22"/>
                <w:szCs w:val="22"/>
              </w:rPr>
              <w:t xml:space="preserve"> ‘</w:t>
            </w:r>
            <w:r w:rsidR="0031083B" w:rsidRPr="00CA30C3">
              <w:rPr>
                <w:i/>
                <w:iCs/>
                <w:sz w:val="22"/>
                <w:szCs w:val="22"/>
              </w:rPr>
              <w:t>Targeted approaches that are tailored to pupils’ needs such as regular report cards may be appropriate where pupils are struggling with behaviour.’</w:t>
            </w:r>
          </w:p>
          <w:p w14:paraId="531EE20A" w14:textId="37350DF1" w:rsidR="0031083B" w:rsidRDefault="0031083B" w:rsidP="00F43A79">
            <w:pPr>
              <w:pStyle w:val="TableRowCentered"/>
              <w:ind w:left="0"/>
              <w:jc w:val="left"/>
              <w:rPr>
                <w:sz w:val="18"/>
                <w:szCs w:val="18"/>
              </w:rPr>
            </w:pPr>
          </w:p>
          <w:p w14:paraId="09649738" w14:textId="6386F9AB" w:rsidR="0031083B" w:rsidRPr="0031083B" w:rsidRDefault="00C83C64" w:rsidP="0031083B">
            <w:pPr>
              <w:pStyle w:val="TableRowCentered"/>
              <w:jc w:val="left"/>
              <w:rPr>
                <w:sz w:val="22"/>
                <w:szCs w:val="22"/>
              </w:rPr>
            </w:pPr>
            <w:hyperlink r:id="rId17" w:history="1">
              <w:r w:rsidR="0031083B" w:rsidRPr="0031083B">
                <w:rPr>
                  <w:rStyle w:val="Hyperlink"/>
                  <w:sz w:val="22"/>
                  <w:szCs w:val="22"/>
                </w:rPr>
                <w:t>https://educationendowmentfoundation.org.uk/education-evidence/teaching-learning-toolkit/small-group-tuition</w:t>
              </w:r>
            </w:hyperlink>
            <w:r w:rsidR="0031083B" w:rsidRPr="0031083B">
              <w:rPr>
                <w:sz w:val="22"/>
                <w:szCs w:val="22"/>
              </w:rPr>
              <w:t xml:space="preserve"> </w:t>
            </w:r>
            <w:r w:rsidR="0031083B" w:rsidRPr="0031083B">
              <w:rPr>
                <w:i/>
                <w:iCs/>
                <w:sz w:val="22"/>
                <w:szCs w:val="22"/>
              </w:rPr>
              <w:t>Studies in England have shown that pupils eligible for free school meals typically receive additional benefits from small group tuition. Small group tuition approaches can support pupils to make effective progress by providing intensive, targeted academic support to those identified as having low prior attainment or at risk of falling behind.</w:t>
            </w:r>
          </w:p>
          <w:p w14:paraId="5369271F" w14:textId="77777777" w:rsidR="00F43A79" w:rsidRDefault="00F43A79" w:rsidP="00F43A79">
            <w:pPr>
              <w:pStyle w:val="TableRowCentered"/>
              <w:ind w:left="0"/>
              <w:jc w:val="left"/>
              <w:rPr>
                <w:sz w:val="18"/>
                <w:szCs w:val="18"/>
              </w:rPr>
            </w:pPr>
          </w:p>
          <w:p w14:paraId="62C395E3" w14:textId="31F2D47E" w:rsidR="0031083B" w:rsidRPr="00AC06E0" w:rsidRDefault="00C83C64" w:rsidP="00C270D8">
            <w:pPr>
              <w:pStyle w:val="TableRowCentered"/>
              <w:jc w:val="left"/>
              <w:rPr>
                <w:sz w:val="22"/>
                <w:szCs w:val="22"/>
              </w:rPr>
            </w:pPr>
            <w:hyperlink r:id="rId18" w:history="1">
              <w:r w:rsidR="00F43A79" w:rsidRPr="0031083B">
                <w:rPr>
                  <w:rStyle w:val="Hyperlink"/>
                  <w:sz w:val="22"/>
                  <w:szCs w:val="22"/>
                </w:rPr>
                <w:t>https://educationendowmentfoundation.org.uk/education-evidence/teaching-learning-toolkit/homework</w:t>
              </w:r>
            </w:hyperlink>
            <w:r w:rsidR="0031083B">
              <w:rPr>
                <w:rStyle w:val="Hyperlink"/>
                <w:color w:val="0D0D0D"/>
                <w:sz w:val="22"/>
                <w:szCs w:val="22"/>
              </w:rPr>
              <w:t>:</w:t>
            </w:r>
            <w:r w:rsidR="0031083B">
              <w:rPr>
                <w:rStyle w:val="Hyperlink"/>
                <w:color w:val="0D0D0D"/>
              </w:rPr>
              <w:t xml:space="preserve"> </w:t>
            </w:r>
            <w:r w:rsidR="0031083B" w:rsidRPr="0031083B">
              <w:rPr>
                <w:rStyle w:val="Hyperlink"/>
                <w:i/>
                <w:iCs/>
                <w:color w:val="0D0D0D"/>
              </w:rPr>
              <w:t>‘</w:t>
            </w:r>
            <w:r w:rsidR="0031083B" w:rsidRPr="0031083B">
              <w:rPr>
                <w:i/>
                <w:iCs/>
                <w:sz w:val="22"/>
                <w:szCs w:val="22"/>
              </w:rPr>
              <w:t>Pupils eligible for free school meals typically receive additional benefits from homework. However, surveys in England suggest that pupils from disadvantaged backgrounds are less likely to have a quiet working space, are less likely to have access to a device suitable for learning or a stable internet connection and may receive less parental support to complete homework and develop effective learning habits. These difficulties may increase the gap in attainment for disadvantaged pupils. Homework clubs can help to overcome these barriers by offering pupils the resources and support needed to undertake homework or revision’</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0FA4" w14:textId="682E0C91" w:rsidR="00517E50" w:rsidRDefault="00A677BF">
            <w:pPr>
              <w:pStyle w:val="TableRowCentered"/>
              <w:jc w:val="left"/>
              <w:rPr>
                <w:sz w:val="22"/>
                <w:szCs w:val="22"/>
              </w:rPr>
            </w:pPr>
            <w:r>
              <w:rPr>
                <w:sz w:val="22"/>
                <w:szCs w:val="22"/>
              </w:rPr>
              <w:t>1,</w:t>
            </w:r>
            <w:r w:rsidR="00A62C1C">
              <w:rPr>
                <w:sz w:val="22"/>
                <w:szCs w:val="22"/>
              </w:rPr>
              <w:t>2,3.</w:t>
            </w:r>
          </w:p>
        </w:tc>
      </w:tr>
      <w:tr w:rsidR="00D23145" w:rsidRPr="00AC06E0" w14:paraId="7D05CD5F" w14:textId="77777777" w:rsidTr="00A677BF">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B14F0" w14:textId="77777777" w:rsidR="00D23145" w:rsidRDefault="00D23145" w:rsidP="00D23145">
            <w:pPr>
              <w:pStyle w:val="TableRow"/>
              <w:rPr>
                <w:color w:val="auto"/>
                <w:sz w:val="22"/>
                <w:szCs w:val="22"/>
              </w:rPr>
            </w:pPr>
            <w:r w:rsidRPr="005E3C92">
              <w:rPr>
                <w:color w:val="auto"/>
                <w:sz w:val="22"/>
                <w:szCs w:val="22"/>
              </w:rPr>
              <w:t>Interventions to support language development, literacy, and numeracy</w:t>
            </w:r>
            <w:r>
              <w:rPr>
                <w:color w:val="auto"/>
                <w:sz w:val="22"/>
                <w:szCs w:val="22"/>
              </w:rPr>
              <w:t xml:space="preserve"> delivered by HTLA.</w:t>
            </w:r>
          </w:p>
          <w:p w14:paraId="4F4F1B3F" w14:textId="77777777" w:rsidR="00D23145" w:rsidRDefault="00D23145" w:rsidP="00D23145">
            <w:pPr>
              <w:pStyle w:val="TableRow"/>
              <w:rPr>
                <w:color w:val="auto"/>
                <w:sz w:val="22"/>
                <w:szCs w:val="22"/>
              </w:rPr>
            </w:pPr>
          </w:p>
          <w:p w14:paraId="23CF51DC" w14:textId="28D5147C" w:rsidR="00D23145" w:rsidRDefault="00D23145" w:rsidP="00D23145">
            <w:pPr>
              <w:pStyle w:val="TableRow"/>
              <w:rPr>
                <w:sz w:val="22"/>
                <w:szCs w:val="22"/>
              </w:rPr>
            </w:pPr>
            <w:r>
              <w:rPr>
                <w:iCs/>
                <w:sz w:val="22"/>
                <w:szCs w:val="22"/>
              </w:rPr>
              <w:t>Extra weekly English lessons for weaker readers in Year 7.</w:t>
            </w:r>
          </w:p>
        </w:tc>
        <w:tc>
          <w:tcPr>
            <w:tcW w:w="5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FDDB" w14:textId="77777777" w:rsidR="0031083B" w:rsidRPr="0031083B" w:rsidRDefault="00C83C64" w:rsidP="0031083B">
            <w:pPr>
              <w:pStyle w:val="TableRowCentered"/>
              <w:jc w:val="left"/>
              <w:rPr>
                <w:color w:val="0070C0"/>
                <w:sz w:val="22"/>
                <w:szCs w:val="22"/>
                <w:u w:val="single"/>
              </w:rPr>
            </w:pPr>
            <w:hyperlink r:id="rId19" w:history="1">
              <w:r w:rsidR="0031083B" w:rsidRPr="0031083B">
                <w:rPr>
                  <w:color w:val="0070C0"/>
                  <w:sz w:val="22"/>
                  <w:szCs w:val="22"/>
                  <w:u w:val="single"/>
                </w:rPr>
                <w:t>Reading comprehension strategies | Toolkit Strand | Education Endowment Foundation | EEF</w:t>
              </w:r>
            </w:hyperlink>
          </w:p>
          <w:p w14:paraId="117F8F4C" w14:textId="3A144DA5" w:rsidR="00D23145" w:rsidRPr="0031083B" w:rsidRDefault="0031083B" w:rsidP="0031083B">
            <w:pPr>
              <w:suppressAutoHyphens w:val="0"/>
              <w:autoSpaceDN/>
              <w:spacing w:before="60" w:after="60" w:line="240" w:lineRule="auto"/>
              <w:ind w:right="57"/>
              <w:rPr>
                <w:rFonts w:cs="Arial"/>
                <w:i/>
                <w:iCs/>
                <w:color w:val="auto"/>
                <w:sz w:val="22"/>
                <w:szCs w:val="22"/>
              </w:rPr>
            </w:pPr>
            <w:r w:rsidRPr="0031083B">
              <w:rPr>
                <w:rFonts w:cs="Arial"/>
                <w:i/>
                <w:iCs/>
                <w:color w:val="auto"/>
                <w:sz w:val="22"/>
                <w:szCs w:val="22"/>
              </w:rPr>
              <w:t>‘</w:t>
            </w:r>
            <w:r w:rsidR="00D23145" w:rsidRPr="0031083B">
              <w:rPr>
                <w:rFonts w:cs="Arial"/>
                <w:i/>
                <w:iCs/>
                <w:color w:val="auto"/>
                <w:sz w:val="22"/>
                <w:szCs w:val="22"/>
              </w:rPr>
              <w:t>Reading comprehension strategies can have a positive impact on pupils’ ability to understand a text, and this is particularly the case when interventions are delivered over a shorter timespan</w:t>
            </w:r>
            <w:r w:rsidRPr="0031083B">
              <w:rPr>
                <w:rFonts w:cs="Arial"/>
                <w:i/>
                <w:iCs/>
                <w:color w:val="auto"/>
                <w:sz w:val="22"/>
                <w:szCs w:val="22"/>
              </w:rPr>
              <w:t>’</w:t>
            </w:r>
          </w:p>
          <w:p w14:paraId="23E01E0B" w14:textId="2DE8432C" w:rsidR="00D23145" w:rsidRPr="0031083B" w:rsidRDefault="00C83C64" w:rsidP="00D23145">
            <w:pPr>
              <w:pStyle w:val="TableRowCentered"/>
              <w:jc w:val="left"/>
              <w:rPr>
                <w:rStyle w:val="Hyperlink"/>
                <w:sz w:val="22"/>
                <w:szCs w:val="22"/>
              </w:rPr>
            </w:pPr>
            <w:hyperlink r:id="rId20" w:history="1">
              <w:r w:rsidR="00D23145" w:rsidRPr="0031083B">
                <w:rPr>
                  <w:rStyle w:val="Hyperlink"/>
                  <w:sz w:val="22"/>
                  <w:szCs w:val="22"/>
                </w:rPr>
                <w:t>https://educationendowmentfoundation.org.uk/education-evidence/teaching-learning-toolkit/phonics</w:t>
              </w:r>
            </w:hyperlink>
            <w:r w:rsidR="0031083B" w:rsidRPr="0031083B">
              <w:rPr>
                <w:rStyle w:val="Hyperlink"/>
                <w:sz w:val="22"/>
                <w:szCs w:val="22"/>
              </w:rPr>
              <w:t xml:space="preserve">: </w:t>
            </w:r>
          </w:p>
          <w:p w14:paraId="638429EE" w14:textId="3C4FBC09" w:rsidR="00D23145" w:rsidRPr="0031083B" w:rsidRDefault="0031083B" w:rsidP="0031083B">
            <w:pPr>
              <w:pStyle w:val="TableRowCentered"/>
              <w:jc w:val="left"/>
              <w:rPr>
                <w:i/>
                <w:iCs/>
                <w:color w:val="auto"/>
                <w:sz w:val="22"/>
                <w:szCs w:val="22"/>
              </w:rPr>
            </w:pPr>
            <w:r w:rsidRPr="0031083B">
              <w:rPr>
                <w:i/>
                <w:iCs/>
                <w:color w:val="auto"/>
                <w:sz w:val="22"/>
                <w:szCs w:val="22"/>
              </w:rPr>
              <w:t>Studies in England have shown that pupils eligible for free school meals typically receive similar or slightly greater benefit from phonics interventions and approaches…Targeted phonics interventions may therefore improve decoding skills more quickly for pupils who have experienced these barriers to learning.’</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7476" w14:textId="5DA504D2" w:rsidR="00D23145" w:rsidRDefault="00A62C1C" w:rsidP="00D23145">
            <w:pPr>
              <w:pStyle w:val="TableRowCentered"/>
              <w:jc w:val="left"/>
              <w:rPr>
                <w:sz w:val="22"/>
                <w:szCs w:val="22"/>
              </w:rPr>
            </w:pPr>
            <w:r>
              <w:rPr>
                <w:sz w:val="22"/>
                <w:szCs w:val="22"/>
              </w:rPr>
              <w:t>3</w:t>
            </w:r>
          </w:p>
        </w:tc>
      </w:tr>
      <w:tr w:rsidR="00D23145" w:rsidRPr="00AC06E0" w14:paraId="1AB23B9E" w14:textId="77777777" w:rsidTr="00A677BF">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8AFC0" w14:textId="77777777" w:rsidR="00D23145" w:rsidRDefault="00D23145" w:rsidP="00D23145">
            <w:pPr>
              <w:pStyle w:val="TableRow"/>
              <w:rPr>
                <w:color w:val="auto"/>
                <w:sz w:val="22"/>
                <w:szCs w:val="22"/>
              </w:rPr>
            </w:pPr>
            <w:r>
              <w:rPr>
                <w:color w:val="auto"/>
                <w:sz w:val="22"/>
                <w:szCs w:val="22"/>
              </w:rPr>
              <w:t>Peer tutoring: Form time intervention with Sixth Form mentors</w:t>
            </w:r>
            <w:r w:rsidR="00DA0D29">
              <w:rPr>
                <w:color w:val="auto"/>
                <w:sz w:val="22"/>
                <w:szCs w:val="22"/>
              </w:rPr>
              <w:t>.</w:t>
            </w:r>
          </w:p>
          <w:p w14:paraId="6B60D9F8" w14:textId="77777777" w:rsidR="00DA0D29" w:rsidRDefault="00DA0D29" w:rsidP="00D23145">
            <w:pPr>
              <w:pStyle w:val="TableRow"/>
              <w:rPr>
                <w:sz w:val="22"/>
                <w:szCs w:val="22"/>
              </w:rPr>
            </w:pPr>
          </w:p>
          <w:p w14:paraId="0A0EC222" w14:textId="1C9556FF" w:rsidR="00DA0D29" w:rsidRDefault="00DA0D29" w:rsidP="00D23145">
            <w:pPr>
              <w:pStyle w:val="TableRow"/>
              <w:rPr>
                <w:sz w:val="22"/>
                <w:szCs w:val="22"/>
              </w:rPr>
            </w:pPr>
            <w:r>
              <w:rPr>
                <w:sz w:val="22"/>
                <w:szCs w:val="22"/>
              </w:rPr>
              <w:t>Use of the Level Best programme to structure the mentoring sessions.</w:t>
            </w:r>
          </w:p>
        </w:tc>
        <w:tc>
          <w:tcPr>
            <w:tcW w:w="5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51B2B" w14:textId="20572E31" w:rsidR="0031083B" w:rsidRPr="00CA30C3" w:rsidRDefault="00C83C64" w:rsidP="00D23145">
            <w:pPr>
              <w:suppressAutoHyphens w:val="0"/>
              <w:autoSpaceDN/>
              <w:spacing w:before="60" w:after="60" w:line="240" w:lineRule="auto"/>
              <w:ind w:left="57" w:right="57"/>
              <w:rPr>
                <w:i/>
                <w:iCs/>
                <w:sz w:val="22"/>
                <w:szCs w:val="22"/>
              </w:rPr>
            </w:pPr>
            <w:hyperlink r:id="rId21" w:history="1">
              <w:r w:rsidR="0031083B" w:rsidRPr="00CA30C3">
                <w:rPr>
                  <w:rStyle w:val="Hyperlink"/>
                  <w:rFonts w:cs="Arial"/>
                  <w:i/>
                  <w:iCs/>
                  <w:sz w:val="22"/>
                  <w:szCs w:val="22"/>
                </w:rPr>
                <w:t>https://educationendowmentfoundation.org.uk/education-evidence/teaching-learning-toolkit/peer-tutoring</w:t>
              </w:r>
            </w:hyperlink>
            <w:r w:rsidR="0031083B" w:rsidRPr="00CA30C3">
              <w:rPr>
                <w:rStyle w:val="Hyperlink"/>
                <w:rFonts w:cs="Arial"/>
                <w:i/>
                <w:iCs/>
                <w:sz w:val="22"/>
                <w:szCs w:val="22"/>
              </w:rPr>
              <w:t xml:space="preserve"> </w:t>
            </w:r>
          </w:p>
          <w:p w14:paraId="733A582F" w14:textId="3D56FEE8" w:rsidR="00D23145" w:rsidRPr="00C270D8" w:rsidRDefault="00D23145" w:rsidP="00C270D8">
            <w:pPr>
              <w:suppressAutoHyphens w:val="0"/>
              <w:autoSpaceDN/>
              <w:spacing w:before="60" w:after="60" w:line="240" w:lineRule="auto"/>
              <w:ind w:left="57" w:right="57"/>
              <w:rPr>
                <w:i/>
                <w:iCs/>
                <w:sz w:val="22"/>
                <w:szCs w:val="22"/>
              </w:rPr>
            </w:pPr>
            <w:r w:rsidRPr="00CA30C3">
              <w:rPr>
                <w:i/>
                <w:iCs/>
                <w:sz w:val="22"/>
                <w:szCs w:val="22"/>
              </w:rPr>
              <w:t>Peer tutoring, on average, has a positive impact on both tutors and tutees. Ensuring that the age gap is wide enough so that the work is challenging to the tutee whilst easy enough for the tutor to support them is key. Successful approaches may also have other benefits, such as supporting the social and personal development of pupils and boosting their self-confidence and motivation for learning.</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E801" w14:textId="1DEA9970" w:rsidR="00D23145" w:rsidRDefault="00A677BF" w:rsidP="00D23145">
            <w:pPr>
              <w:pStyle w:val="TableRowCentered"/>
              <w:jc w:val="left"/>
              <w:rPr>
                <w:sz w:val="22"/>
                <w:szCs w:val="22"/>
              </w:rPr>
            </w:pPr>
            <w:r>
              <w:rPr>
                <w:sz w:val="22"/>
                <w:szCs w:val="22"/>
              </w:rPr>
              <w:t>1,</w:t>
            </w:r>
            <w:r w:rsidR="00A62C1C">
              <w:rPr>
                <w:sz w:val="22"/>
                <w:szCs w:val="22"/>
              </w:rPr>
              <w:t>2,3</w:t>
            </w:r>
          </w:p>
        </w:tc>
      </w:tr>
      <w:tr w:rsidR="008868FF" w:rsidRPr="00AC06E0" w14:paraId="0B108084" w14:textId="77777777" w:rsidTr="00A677BF">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7F346" w14:textId="1C56FE38" w:rsidR="0089357E" w:rsidRDefault="00012C2E" w:rsidP="008868FF">
            <w:pPr>
              <w:pStyle w:val="TableRow"/>
              <w:rPr>
                <w:sz w:val="22"/>
                <w:szCs w:val="22"/>
              </w:rPr>
            </w:pPr>
            <w:r>
              <w:rPr>
                <w:sz w:val="22"/>
                <w:szCs w:val="22"/>
              </w:rPr>
              <w:t>One-to-one and small group intervention</w:t>
            </w:r>
          </w:p>
          <w:p w14:paraId="50637CC4" w14:textId="6C083822" w:rsidR="00012C2E" w:rsidRDefault="00012C2E" w:rsidP="00012C2E">
            <w:pPr>
              <w:pStyle w:val="TableRow"/>
              <w:numPr>
                <w:ilvl w:val="0"/>
                <w:numId w:val="20"/>
              </w:numPr>
              <w:rPr>
                <w:sz w:val="22"/>
                <w:szCs w:val="22"/>
              </w:rPr>
            </w:pPr>
            <w:r>
              <w:rPr>
                <w:sz w:val="22"/>
                <w:szCs w:val="22"/>
              </w:rPr>
              <w:t>Inclusion Centre intervention work</w:t>
            </w:r>
          </w:p>
          <w:p w14:paraId="3B63C986" w14:textId="0940F72C" w:rsidR="008868FF" w:rsidRPr="00AC06E0" w:rsidRDefault="009E6F48" w:rsidP="00012C2E">
            <w:pPr>
              <w:pStyle w:val="TableRow"/>
              <w:numPr>
                <w:ilvl w:val="0"/>
                <w:numId w:val="20"/>
              </w:numPr>
              <w:rPr>
                <w:sz w:val="22"/>
                <w:szCs w:val="22"/>
              </w:rPr>
            </w:pPr>
            <w:r>
              <w:rPr>
                <w:sz w:val="22"/>
                <w:szCs w:val="22"/>
              </w:rPr>
              <w:t>Catch-up</w:t>
            </w:r>
            <w:r w:rsidR="008868FF" w:rsidRPr="00AC06E0">
              <w:rPr>
                <w:sz w:val="22"/>
                <w:szCs w:val="22"/>
              </w:rPr>
              <w:t xml:space="preserve"> intervention for disadvantaged students who are underperforming in GCSE English, Maths and Science.</w:t>
            </w:r>
          </w:p>
        </w:tc>
        <w:tc>
          <w:tcPr>
            <w:tcW w:w="579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61EA" w14:textId="64E067B5" w:rsidR="000B16AC" w:rsidRPr="00F43A79" w:rsidRDefault="00F43A79" w:rsidP="0031083B">
            <w:pPr>
              <w:pStyle w:val="TableRowCentered"/>
              <w:jc w:val="left"/>
              <w:rPr>
                <w:sz w:val="22"/>
                <w:szCs w:val="22"/>
              </w:rPr>
            </w:pPr>
            <w:r w:rsidRPr="00F43A79">
              <w:rPr>
                <w:sz w:val="22"/>
                <w:szCs w:val="22"/>
              </w:rPr>
              <w:t>One to one tuition is an effective strategy for providing intensive, targeted support for pupils that are identified as underperforming in particular areas.</w:t>
            </w:r>
          </w:p>
          <w:p w14:paraId="1E8F3E8E" w14:textId="77777777" w:rsidR="0031083B" w:rsidRDefault="00C83C64">
            <w:pPr>
              <w:pStyle w:val="TableRowCentered"/>
              <w:jc w:val="left"/>
              <w:rPr>
                <w:rStyle w:val="Hyperlink"/>
                <w:color w:val="0D0D0D"/>
              </w:rPr>
            </w:pPr>
            <w:hyperlink r:id="rId22" w:history="1">
              <w:r w:rsidR="00F43A79" w:rsidRPr="00E318BD">
                <w:rPr>
                  <w:rStyle w:val="Hyperlink"/>
                  <w:sz w:val="18"/>
                  <w:szCs w:val="18"/>
                </w:rPr>
                <w:t>https://educationendowmentfoundation.org.uk/education-evidence/teaching-learning-toolkit/one-to-one-tuition</w:t>
              </w:r>
            </w:hyperlink>
            <w:r w:rsidR="000B16AC">
              <w:rPr>
                <w:rStyle w:val="Hyperlink"/>
                <w:color w:val="0D0D0D"/>
                <w:sz w:val="18"/>
                <w:szCs w:val="18"/>
              </w:rPr>
              <w:t>:</w:t>
            </w:r>
            <w:r w:rsidR="000B16AC">
              <w:rPr>
                <w:rStyle w:val="Hyperlink"/>
                <w:color w:val="0D0D0D"/>
              </w:rPr>
              <w:t xml:space="preserve"> </w:t>
            </w:r>
          </w:p>
          <w:p w14:paraId="0AFA6B13" w14:textId="77777777" w:rsidR="008868FF" w:rsidRDefault="000B16AC">
            <w:pPr>
              <w:pStyle w:val="TableRowCentered"/>
              <w:jc w:val="left"/>
              <w:rPr>
                <w:rFonts w:cs="Arial"/>
                <w:i/>
                <w:iCs/>
                <w:color w:val="263238"/>
                <w:sz w:val="22"/>
                <w:szCs w:val="22"/>
                <w:shd w:val="clear" w:color="auto" w:fill="FFFFFF"/>
              </w:rPr>
            </w:pPr>
            <w:r w:rsidRPr="000B16AC">
              <w:rPr>
                <w:rFonts w:cs="Arial"/>
                <w:i/>
                <w:iCs/>
                <w:color w:val="263238"/>
                <w:sz w:val="22"/>
                <w:szCs w:val="22"/>
                <w:shd w:val="clear" w:color="auto" w:fill="FFFFFF"/>
              </w:rPr>
              <w:t xml:space="preserve">Studies in England have shown that pupils eligible for free school meals typically receive additional benefits from </w:t>
            </w:r>
            <w:proofErr w:type="gramStart"/>
            <w:r w:rsidRPr="000B16AC">
              <w:rPr>
                <w:rFonts w:cs="Arial"/>
                <w:i/>
                <w:iCs/>
                <w:color w:val="263238"/>
                <w:sz w:val="22"/>
                <w:szCs w:val="22"/>
                <w:shd w:val="clear" w:color="auto" w:fill="FFFFFF"/>
              </w:rPr>
              <w:t>one to one</w:t>
            </w:r>
            <w:proofErr w:type="gramEnd"/>
            <w:r w:rsidRPr="000B16AC">
              <w:rPr>
                <w:rFonts w:cs="Arial"/>
                <w:i/>
                <w:iCs/>
                <w:color w:val="263238"/>
                <w:sz w:val="22"/>
                <w:szCs w:val="22"/>
                <w:shd w:val="clear" w:color="auto" w:fill="FFFFFF"/>
              </w:rPr>
              <w:t xml:space="preserve"> tuition. Low attaining pupils are particularly likely to benefit.</w:t>
            </w:r>
          </w:p>
          <w:p w14:paraId="3654FF69" w14:textId="77777777" w:rsidR="0031083B" w:rsidRDefault="0031083B" w:rsidP="00C270D8">
            <w:pPr>
              <w:pStyle w:val="TableRowCentered"/>
              <w:ind w:left="0"/>
              <w:jc w:val="left"/>
              <w:rPr>
                <w:rFonts w:cs="Arial"/>
                <w:color w:val="263238"/>
                <w:sz w:val="18"/>
                <w:szCs w:val="18"/>
                <w:shd w:val="clear" w:color="auto" w:fill="FFFFFF"/>
              </w:rPr>
            </w:pPr>
          </w:p>
          <w:p w14:paraId="7E36EFFE" w14:textId="3194FD32" w:rsidR="0031083B" w:rsidRPr="00C270D8" w:rsidRDefault="00C83C64" w:rsidP="00C270D8">
            <w:pPr>
              <w:pStyle w:val="TableRowCentered"/>
              <w:jc w:val="left"/>
              <w:rPr>
                <w:sz w:val="22"/>
                <w:szCs w:val="22"/>
              </w:rPr>
            </w:pPr>
            <w:hyperlink r:id="rId23" w:history="1">
              <w:r w:rsidR="0031083B" w:rsidRPr="0031083B">
                <w:rPr>
                  <w:rStyle w:val="Hyperlink"/>
                  <w:sz w:val="22"/>
                  <w:szCs w:val="22"/>
                </w:rPr>
                <w:t>https://educationendowmentfoundation.org.uk/education-evidence/teaching-learning-toolkit/small-group-tuition</w:t>
              </w:r>
            </w:hyperlink>
            <w:r w:rsidR="0031083B" w:rsidRPr="0031083B">
              <w:rPr>
                <w:sz w:val="22"/>
                <w:szCs w:val="22"/>
              </w:rPr>
              <w:t xml:space="preserve"> </w:t>
            </w:r>
            <w:r w:rsidR="0031083B" w:rsidRPr="0031083B">
              <w:rPr>
                <w:i/>
                <w:iCs/>
                <w:sz w:val="22"/>
                <w:szCs w:val="22"/>
              </w:rPr>
              <w:t>Studies in England have shown that pupils eligible for free school meals typically receive additional benefits from small group tuition. Small group tuition approaches can support pupils to make effective progress by providing intensive, targeted academic support to those identified as having low prior attainment or at risk of falling behind.</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1ED12" w14:textId="2D43FF54" w:rsidR="008868FF" w:rsidRPr="00AC06E0" w:rsidRDefault="00A677BF">
            <w:pPr>
              <w:pStyle w:val="TableRowCentered"/>
              <w:jc w:val="left"/>
              <w:rPr>
                <w:sz w:val="22"/>
                <w:szCs w:val="22"/>
              </w:rPr>
            </w:pPr>
            <w:r>
              <w:rPr>
                <w:sz w:val="22"/>
                <w:szCs w:val="22"/>
              </w:rPr>
              <w:t>1,2</w:t>
            </w:r>
            <w:r w:rsidR="00A62C1C">
              <w:rPr>
                <w:sz w:val="22"/>
                <w:szCs w:val="22"/>
              </w:rPr>
              <w:t>,3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EB25E33" w:rsidR="00E66558" w:rsidRDefault="00D80330" w:rsidP="009170AC">
      <w:r>
        <w:t xml:space="preserve">Budgeted cost: </w:t>
      </w:r>
      <w:r w:rsidR="00EA6826" w:rsidRPr="00D80330">
        <w:t>£</w:t>
      </w:r>
      <w:r w:rsidR="00A62C1C">
        <w:rPr>
          <w:iCs/>
        </w:rPr>
        <w:t>42,630</w:t>
      </w:r>
    </w:p>
    <w:tbl>
      <w:tblPr>
        <w:tblW w:w="5078" w:type="pct"/>
        <w:tblCellMar>
          <w:left w:w="10" w:type="dxa"/>
          <w:right w:w="10" w:type="dxa"/>
        </w:tblCellMar>
        <w:tblLook w:val="04A0" w:firstRow="1" w:lastRow="0" w:firstColumn="1" w:lastColumn="0" w:noHBand="0" w:noVBand="1"/>
      </w:tblPr>
      <w:tblGrid>
        <w:gridCol w:w="2219"/>
        <w:gridCol w:w="5961"/>
        <w:gridCol w:w="1454"/>
      </w:tblGrid>
      <w:tr w:rsidR="00E66558" w:rsidRPr="00AC06E0" w14:paraId="2A7D5537"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AC06E0" w:rsidRDefault="009D71E8">
            <w:pPr>
              <w:pStyle w:val="TableHeader"/>
              <w:jc w:val="left"/>
              <w:rPr>
                <w:sz w:val="22"/>
                <w:szCs w:val="22"/>
              </w:rPr>
            </w:pPr>
            <w:r w:rsidRPr="00AC06E0">
              <w:rPr>
                <w:sz w:val="22"/>
                <w:szCs w:val="22"/>
              </w:rPr>
              <w:t>Activity</w:t>
            </w:r>
          </w:p>
        </w:tc>
        <w:tc>
          <w:tcPr>
            <w:tcW w:w="60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AC06E0" w:rsidRDefault="009D71E8">
            <w:pPr>
              <w:pStyle w:val="TableHeader"/>
              <w:jc w:val="left"/>
              <w:rPr>
                <w:sz w:val="22"/>
                <w:szCs w:val="22"/>
              </w:rPr>
            </w:pPr>
            <w:r w:rsidRPr="00AC06E0">
              <w:rPr>
                <w:sz w:val="22"/>
                <w:szCs w:val="22"/>
              </w:rPr>
              <w:t>Evidence that supports this approach</w:t>
            </w:r>
          </w:p>
        </w:tc>
        <w:tc>
          <w:tcPr>
            <w:tcW w:w="14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AC06E0" w:rsidRDefault="009D71E8">
            <w:pPr>
              <w:pStyle w:val="TableHeader"/>
              <w:jc w:val="left"/>
              <w:rPr>
                <w:sz w:val="22"/>
                <w:szCs w:val="22"/>
              </w:rPr>
            </w:pPr>
            <w:r w:rsidRPr="00AC06E0">
              <w:rPr>
                <w:sz w:val="22"/>
                <w:szCs w:val="22"/>
              </w:rPr>
              <w:t>Challenge number(s) addressed</w:t>
            </w:r>
          </w:p>
        </w:tc>
      </w:tr>
      <w:tr w:rsidR="004A15DB" w:rsidRPr="00AC06E0" w14:paraId="149605FF"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7454" w14:textId="060ECF32" w:rsidR="004A15DB" w:rsidRPr="00446D2C" w:rsidRDefault="004A15DB" w:rsidP="004A15DB">
            <w:pPr>
              <w:pStyle w:val="TableRow"/>
              <w:rPr>
                <w:sz w:val="22"/>
                <w:szCs w:val="22"/>
              </w:rPr>
            </w:pPr>
            <w:r w:rsidRPr="00446D2C">
              <w:rPr>
                <w:sz w:val="22"/>
                <w:szCs w:val="22"/>
              </w:rPr>
              <w:t xml:space="preserve">Support for the social, emotional and mental health </w:t>
            </w:r>
            <w:r w:rsidR="005A770D" w:rsidRPr="00446D2C">
              <w:rPr>
                <w:sz w:val="22"/>
                <w:szCs w:val="22"/>
              </w:rPr>
              <w:t xml:space="preserve">needs </w:t>
            </w:r>
            <w:r w:rsidRPr="00446D2C">
              <w:rPr>
                <w:sz w:val="22"/>
                <w:szCs w:val="22"/>
              </w:rPr>
              <w:t xml:space="preserve">of disadvantaged students </w:t>
            </w:r>
          </w:p>
          <w:p w14:paraId="7E57787F" w14:textId="77777777" w:rsidR="00517E50" w:rsidRPr="00446D2C" w:rsidRDefault="00250D34" w:rsidP="00517E50">
            <w:pPr>
              <w:pStyle w:val="TableRow"/>
              <w:numPr>
                <w:ilvl w:val="0"/>
                <w:numId w:val="20"/>
              </w:numPr>
              <w:rPr>
                <w:iCs/>
                <w:sz w:val="22"/>
                <w:szCs w:val="22"/>
              </w:rPr>
            </w:pPr>
            <w:r w:rsidRPr="00446D2C">
              <w:rPr>
                <w:sz w:val="22"/>
                <w:szCs w:val="22"/>
              </w:rPr>
              <w:t xml:space="preserve">Work of the </w:t>
            </w:r>
            <w:r w:rsidR="00517E50" w:rsidRPr="00446D2C">
              <w:rPr>
                <w:sz w:val="22"/>
                <w:szCs w:val="22"/>
              </w:rPr>
              <w:t>Heads of Year/Assistant Heads of Year</w:t>
            </w:r>
          </w:p>
          <w:p w14:paraId="13A8957E" w14:textId="564DC7DF" w:rsidR="00250D34" w:rsidRPr="00446D2C" w:rsidRDefault="00250D34" w:rsidP="00517E50">
            <w:pPr>
              <w:pStyle w:val="TableRow"/>
              <w:numPr>
                <w:ilvl w:val="0"/>
                <w:numId w:val="20"/>
              </w:numPr>
              <w:rPr>
                <w:iCs/>
                <w:sz w:val="22"/>
                <w:szCs w:val="22"/>
              </w:rPr>
            </w:pPr>
            <w:r w:rsidRPr="00446D2C">
              <w:rPr>
                <w:iCs/>
                <w:sz w:val="22"/>
                <w:szCs w:val="22"/>
              </w:rPr>
              <w:t xml:space="preserve">Pupil Premium Advocates: </w:t>
            </w:r>
            <w:r w:rsidR="00A62C1C">
              <w:rPr>
                <w:iCs/>
                <w:sz w:val="22"/>
                <w:szCs w:val="22"/>
              </w:rPr>
              <w:t xml:space="preserve">face-to-face </w:t>
            </w:r>
            <w:r w:rsidRPr="00446D2C">
              <w:rPr>
                <w:iCs/>
                <w:sz w:val="22"/>
                <w:szCs w:val="22"/>
              </w:rPr>
              <w:t xml:space="preserve">progress reviews with students and parents </w:t>
            </w:r>
          </w:p>
          <w:p w14:paraId="636EA344" w14:textId="6C0AEA51" w:rsidR="0089357E" w:rsidRPr="00446D2C" w:rsidRDefault="0089357E" w:rsidP="00517E50">
            <w:pPr>
              <w:pStyle w:val="TableRow"/>
              <w:numPr>
                <w:ilvl w:val="0"/>
                <w:numId w:val="20"/>
              </w:numPr>
              <w:rPr>
                <w:iCs/>
                <w:sz w:val="22"/>
                <w:szCs w:val="22"/>
              </w:rPr>
            </w:pPr>
            <w:r w:rsidRPr="00446D2C">
              <w:rPr>
                <w:iCs/>
                <w:sz w:val="22"/>
                <w:szCs w:val="22"/>
              </w:rPr>
              <w:t xml:space="preserve">Work of the safeguarding team </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BB59A" w14:textId="508E614E" w:rsidR="00CA30C3" w:rsidRPr="00446D2C" w:rsidRDefault="00C83C64" w:rsidP="00CA30C3">
            <w:pPr>
              <w:pStyle w:val="TableRowCentered"/>
              <w:jc w:val="left"/>
              <w:rPr>
                <w:sz w:val="22"/>
                <w:szCs w:val="22"/>
              </w:rPr>
            </w:pPr>
            <w:hyperlink r:id="rId24" w:history="1">
              <w:r w:rsidR="00CA30C3" w:rsidRPr="00446D2C">
                <w:rPr>
                  <w:rStyle w:val="Hyperlink"/>
                  <w:sz w:val="22"/>
                  <w:szCs w:val="22"/>
                </w:rPr>
                <w:t>https://educationendowmentfoundation.org.uk/education-evidence/teaching-learning-toolkit/social-and-emotional-learning</w:t>
              </w:r>
            </w:hyperlink>
            <w:r w:rsidR="00CA30C3" w:rsidRPr="00446D2C">
              <w:rPr>
                <w:sz w:val="22"/>
                <w:szCs w:val="22"/>
              </w:rPr>
              <w:t xml:space="preserve"> </w:t>
            </w:r>
          </w:p>
          <w:p w14:paraId="3437FE81" w14:textId="4E86B7F3" w:rsidR="00CA30C3" w:rsidRPr="00446D2C" w:rsidRDefault="00CA30C3" w:rsidP="00CA30C3">
            <w:pPr>
              <w:pStyle w:val="TableRowCentered"/>
              <w:jc w:val="left"/>
              <w:rPr>
                <w:i/>
                <w:iCs/>
                <w:sz w:val="22"/>
                <w:szCs w:val="22"/>
              </w:rPr>
            </w:pPr>
            <w:r w:rsidRPr="00446D2C">
              <w:rPr>
                <w:i/>
                <w:iCs/>
                <w:sz w:val="22"/>
                <w:szCs w:val="22"/>
              </w:rPr>
              <w:t>Social and emotional learning interventions in education are shown to improve social and emotional skills and are therefore likely to support disadvantaged pupils to understand and engage in healthy relationships with peers and emotional self-regulation, both of which may subsequently increase academic attainment.</w:t>
            </w:r>
          </w:p>
          <w:p w14:paraId="1B4B6443" w14:textId="632B614B" w:rsidR="00CA30C3" w:rsidRPr="00446D2C" w:rsidRDefault="00CA30C3" w:rsidP="004A15DB">
            <w:pPr>
              <w:pStyle w:val="TableRowCentered"/>
              <w:jc w:val="left"/>
              <w:rPr>
                <w:sz w:val="22"/>
                <w:szCs w:val="22"/>
              </w:rPr>
            </w:pPr>
            <w:r w:rsidRPr="00446D2C">
              <w:rPr>
                <w:sz w:val="22"/>
                <w:szCs w:val="22"/>
              </w:rPr>
              <w:t xml:space="preserve"> </w:t>
            </w:r>
          </w:p>
          <w:p w14:paraId="3399102A" w14:textId="207CF1B1" w:rsidR="00C35B5F" w:rsidRPr="00446D2C" w:rsidRDefault="00446D2C" w:rsidP="00446D2C">
            <w:pPr>
              <w:pStyle w:val="TableRowCentered"/>
              <w:jc w:val="left"/>
              <w:rPr>
                <w:i/>
                <w:iCs/>
                <w:sz w:val="22"/>
                <w:szCs w:val="22"/>
              </w:rPr>
            </w:pPr>
            <w:r w:rsidRPr="00446D2C">
              <w:rPr>
                <w:sz w:val="22"/>
                <w:szCs w:val="22"/>
              </w:rPr>
              <w:t>EEF Improving Behaviour in Schools report: ‘</w:t>
            </w:r>
            <w:r w:rsidRPr="00446D2C">
              <w:rPr>
                <w:i/>
                <w:iCs/>
                <w:sz w:val="22"/>
                <w:szCs w:val="22"/>
              </w:rPr>
              <w:t>A key theme from these recommendations is the importance of knowing individual pupils well, so that schools and teachers know which factors might affect pupil behaviour and what the school can do to address these. Focusing on developing good relationships also ensures pupils feel valued and supported, meaning they are less likely to misbehave.’</w:t>
            </w:r>
          </w:p>
          <w:p w14:paraId="7450E7BE" w14:textId="77777777" w:rsidR="00446D2C" w:rsidRPr="00446D2C" w:rsidRDefault="00446D2C" w:rsidP="00446D2C">
            <w:pPr>
              <w:pStyle w:val="TableRowCentered"/>
              <w:jc w:val="left"/>
              <w:rPr>
                <w:i/>
                <w:iCs/>
                <w:sz w:val="22"/>
                <w:szCs w:val="22"/>
              </w:rPr>
            </w:pPr>
          </w:p>
          <w:p w14:paraId="3C55C64F" w14:textId="77777777" w:rsidR="00446D2C" w:rsidRPr="00446D2C" w:rsidRDefault="00C83C64" w:rsidP="00446D2C">
            <w:pPr>
              <w:pStyle w:val="TableRowCentered"/>
              <w:ind w:left="0"/>
              <w:jc w:val="left"/>
              <w:rPr>
                <w:i/>
                <w:iCs/>
                <w:sz w:val="22"/>
                <w:szCs w:val="22"/>
              </w:rPr>
            </w:pPr>
            <w:hyperlink r:id="rId25" w:history="1">
              <w:r w:rsidR="00446D2C" w:rsidRPr="00446D2C">
                <w:rPr>
                  <w:rStyle w:val="Hyperlink"/>
                  <w:sz w:val="22"/>
                  <w:szCs w:val="22"/>
                </w:rPr>
                <w:t>Behaviour interventions | EEF (educationendowmentfoundation.org.uk)</w:t>
              </w:r>
            </w:hyperlink>
            <w:r w:rsidR="00446D2C" w:rsidRPr="00446D2C">
              <w:rPr>
                <w:rStyle w:val="Hyperlink"/>
                <w:sz w:val="22"/>
                <w:szCs w:val="22"/>
              </w:rPr>
              <w:t xml:space="preserve">: </w:t>
            </w:r>
            <w:r w:rsidR="00446D2C" w:rsidRPr="00446D2C">
              <w:rPr>
                <w:sz w:val="22"/>
                <w:szCs w:val="22"/>
              </w:rPr>
              <w:t>‘</w:t>
            </w:r>
            <w:r w:rsidR="00446D2C" w:rsidRPr="00446D2C">
              <w:rPr>
                <w:i/>
                <w:iCs/>
                <w:sz w:val="22"/>
                <w:szCs w:val="22"/>
              </w:rPr>
              <w:t>Targeted approaches that are tailored to pupils’ needs such as regular report cards may be appropriate where pupils are struggling with behaviour.’</w:t>
            </w:r>
          </w:p>
          <w:p w14:paraId="7916D43E" w14:textId="77777777" w:rsidR="00446D2C" w:rsidRPr="00446D2C" w:rsidRDefault="00446D2C" w:rsidP="00446D2C">
            <w:pPr>
              <w:pStyle w:val="TableRowCentered"/>
              <w:ind w:left="0"/>
              <w:jc w:val="left"/>
              <w:rPr>
                <w:sz w:val="22"/>
                <w:szCs w:val="22"/>
              </w:rPr>
            </w:pPr>
          </w:p>
          <w:p w14:paraId="267A5CF8" w14:textId="3AAB76C8" w:rsidR="004A15DB" w:rsidRPr="00446D2C" w:rsidRDefault="00446D2C" w:rsidP="00CA30C3">
            <w:pPr>
              <w:pStyle w:val="TableRowCentered"/>
              <w:ind w:left="0"/>
              <w:jc w:val="left"/>
              <w:rPr>
                <w:sz w:val="22"/>
                <w:szCs w:val="22"/>
              </w:rPr>
            </w:pPr>
            <w:r>
              <w:rPr>
                <w:sz w:val="22"/>
                <w:szCs w:val="22"/>
              </w:rPr>
              <w:t xml:space="preserve">DfE advice document: </w:t>
            </w:r>
            <w:hyperlink r:id="rId26" w:history="1">
              <w:r w:rsidR="004A15DB" w:rsidRPr="00446D2C">
                <w:rPr>
                  <w:rStyle w:val="Hyperlink"/>
                  <w:sz w:val="22"/>
                  <w:szCs w:val="22"/>
                </w:rPr>
                <w:t>Mental_health_and_behaviour_in_schools__.pdf</w:t>
              </w:r>
            </w:hyperlink>
            <w:r w:rsidRPr="00446D2C">
              <w:rPr>
                <w:rStyle w:val="Hyperlink"/>
                <w:sz w:val="22"/>
                <w:szCs w:val="22"/>
              </w:rPr>
              <w:t xml:space="preserve"> </w:t>
            </w:r>
            <w:r>
              <w:rPr>
                <w:rStyle w:val="Hyperlink"/>
                <w:sz w:val="22"/>
                <w:szCs w:val="22"/>
              </w:rPr>
              <w:t>:</w:t>
            </w:r>
            <w:r>
              <w:rPr>
                <w:rStyle w:val="Hyperlink"/>
              </w:rPr>
              <w:t xml:space="preserve"> </w:t>
            </w:r>
            <w:r w:rsidRPr="00446D2C">
              <w:rPr>
                <w:i/>
                <w:iCs/>
                <w:sz w:val="22"/>
                <w:szCs w:val="22"/>
              </w:rPr>
              <w:t>Schools have an important role to play in supporting the mental health and wellbeing of children by developing whole school approaches tailored to their particular needs, as well as considering the needs of individual pupils.</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53D6" w14:textId="42AC343F" w:rsidR="004A15DB" w:rsidRPr="00AC06E0" w:rsidRDefault="00A677BF" w:rsidP="004A15DB">
            <w:pPr>
              <w:pStyle w:val="TableRowCentered"/>
              <w:jc w:val="left"/>
              <w:rPr>
                <w:sz w:val="22"/>
                <w:szCs w:val="22"/>
              </w:rPr>
            </w:pPr>
            <w:r>
              <w:rPr>
                <w:sz w:val="22"/>
                <w:szCs w:val="22"/>
              </w:rPr>
              <w:t>1,2,3</w:t>
            </w:r>
          </w:p>
        </w:tc>
      </w:tr>
      <w:tr w:rsidR="00CA30C3" w:rsidRPr="00AC06E0" w14:paraId="70E2978F"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10D" w14:textId="77777777" w:rsidR="00CA30C3" w:rsidRDefault="00CA30C3" w:rsidP="004A15DB">
            <w:pPr>
              <w:pStyle w:val="TableRow"/>
              <w:rPr>
                <w:sz w:val="22"/>
                <w:szCs w:val="22"/>
              </w:rPr>
            </w:pPr>
            <w:r>
              <w:rPr>
                <w:sz w:val="22"/>
                <w:szCs w:val="22"/>
              </w:rPr>
              <w:t xml:space="preserve">Supporting the attendance of disadvantaged students </w:t>
            </w:r>
          </w:p>
          <w:p w14:paraId="100A4727" w14:textId="77777777" w:rsidR="00CA30C3" w:rsidRDefault="00CA30C3" w:rsidP="00CA30C3">
            <w:pPr>
              <w:pStyle w:val="TableRow"/>
              <w:numPr>
                <w:ilvl w:val="0"/>
                <w:numId w:val="20"/>
              </w:numPr>
              <w:rPr>
                <w:sz w:val="22"/>
                <w:szCs w:val="22"/>
              </w:rPr>
            </w:pPr>
            <w:r>
              <w:rPr>
                <w:sz w:val="22"/>
                <w:szCs w:val="22"/>
              </w:rPr>
              <w:t>Work of the Heads of Year/Assistant Heads of Year</w:t>
            </w:r>
          </w:p>
          <w:p w14:paraId="6AFB3773" w14:textId="77777777" w:rsidR="00CA30C3" w:rsidRDefault="00CA30C3" w:rsidP="00CA30C3">
            <w:pPr>
              <w:pStyle w:val="TableRow"/>
              <w:numPr>
                <w:ilvl w:val="0"/>
                <w:numId w:val="20"/>
              </w:numPr>
              <w:rPr>
                <w:sz w:val="22"/>
                <w:szCs w:val="22"/>
              </w:rPr>
            </w:pPr>
            <w:r>
              <w:rPr>
                <w:sz w:val="22"/>
                <w:szCs w:val="22"/>
              </w:rPr>
              <w:t>Work of the Attendance team</w:t>
            </w:r>
          </w:p>
          <w:p w14:paraId="5BE92B06" w14:textId="5566BF5B" w:rsidR="00CA30C3" w:rsidRPr="00CA30C3" w:rsidRDefault="00CA30C3" w:rsidP="00CA30C3">
            <w:pPr>
              <w:pStyle w:val="TableRow"/>
              <w:numPr>
                <w:ilvl w:val="0"/>
                <w:numId w:val="20"/>
              </w:numPr>
              <w:rPr>
                <w:sz w:val="22"/>
                <w:szCs w:val="22"/>
              </w:rPr>
            </w:pPr>
            <w:r>
              <w:rPr>
                <w:sz w:val="22"/>
                <w:szCs w:val="22"/>
              </w:rPr>
              <w:t>Use of Inclusion meetings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EDE0" w14:textId="77777777" w:rsidR="00CA30C3" w:rsidRDefault="00446D2C" w:rsidP="004A15DB">
            <w:pPr>
              <w:pStyle w:val="TableRowCentered"/>
              <w:jc w:val="left"/>
              <w:rPr>
                <w:sz w:val="22"/>
                <w:szCs w:val="22"/>
              </w:rPr>
            </w:pPr>
            <w:r w:rsidRPr="00446D2C">
              <w:rPr>
                <w:sz w:val="22"/>
                <w:szCs w:val="22"/>
              </w:rPr>
              <w:t>Poor attendance at school is linked to poor academic attainment across all stages</w:t>
            </w:r>
          </w:p>
          <w:p w14:paraId="2518FF8F" w14:textId="2FA435C5" w:rsidR="00446D2C" w:rsidRDefault="00C83C64" w:rsidP="004A15DB">
            <w:pPr>
              <w:pStyle w:val="TableRowCentered"/>
              <w:jc w:val="left"/>
              <w:rPr>
                <w:sz w:val="22"/>
                <w:szCs w:val="22"/>
              </w:rPr>
            </w:pPr>
            <w:hyperlink r:id="rId27" w:history="1">
              <w:r w:rsidR="00446D2C" w:rsidRPr="00951D1B">
                <w:rPr>
                  <w:rStyle w:val="Hyperlink"/>
                  <w:sz w:val="22"/>
                  <w:szCs w:val="22"/>
                </w:rPr>
                <w:t>https://educationendowmentfoundation.org.uk/education-evidence/guidance-reports/supporting-parents</w:t>
              </w:r>
            </w:hyperlink>
            <w:r w:rsidR="00446D2C">
              <w:rPr>
                <w:sz w:val="22"/>
                <w:szCs w:val="22"/>
              </w:rPr>
              <w:t xml:space="preserve"> </w:t>
            </w:r>
          </w:p>
          <w:p w14:paraId="49AF9192" w14:textId="0FF4D43F" w:rsidR="009170AC" w:rsidRPr="009170AC" w:rsidRDefault="009170AC" w:rsidP="009170AC">
            <w:pPr>
              <w:pStyle w:val="TableRowCentered"/>
              <w:jc w:val="left"/>
              <w:rPr>
                <w:i/>
                <w:iCs/>
                <w:sz w:val="22"/>
                <w:szCs w:val="22"/>
              </w:rPr>
            </w:pPr>
            <w:r>
              <w:rPr>
                <w:sz w:val="22"/>
                <w:szCs w:val="22"/>
              </w:rPr>
              <w:t>‘</w:t>
            </w:r>
            <w:r w:rsidRPr="009170AC">
              <w:rPr>
                <w:i/>
                <w:iCs/>
                <w:sz w:val="22"/>
                <w:szCs w:val="22"/>
              </w:rPr>
              <w:t>More sustained and intensive approaches to support parental engagement may be needed for some children—for example, those struggling with early reading, those from disadvantaged backgrounds, or those with behavioural difficulties…Some form of targeting is usually required to use resources effectively and to avoid widening gaps, so an analysis of needs is a logical starting point. It is also important that targeting is done sensitively to avoid stigmatising, blaming, or discouraging parents’</w:t>
            </w:r>
          </w:p>
          <w:p w14:paraId="620684D2" w14:textId="77777777" w:rsidR="00446D2C" w:rsidRDefault="00446D2C" w:rsidP="004A15DB">
            <w:pPr>
              <w:pStyle w:val="TableRowCentered"/>
              <w:jc w:val="left"/>
              <w:rPr>
                <w:sz w:val="22"/>
                <w:szCs w:val="22"/>
              </w:rPr>
            </w:pPr>
          </w:p>
          <w:p w14:paraId="183B9380" w14:textId="77777777" w:rsidR="00446D2C" w:rsidRDefault="00C83C64" w:rsidP="004A15DB">
            <w:pPr>
              <w:pStyle w:val="TableRowCentered"/>
              <w:jc w:val="left"/>
              <w:rPr>
                <w:sz w:val="22"/>
                <w:szCs w:val="22"/>
              </w:rPr>
            </w:pPr>
            <w:hyperlink r:id="rId28" w:history="1">
              <w:r w:rsidR="00446D2C" w:rsidRPr="00951D1B">
                <w:rPr>
                  <w:rStyle w:val="Hyperlink"/>
                  <w:sz w:val="22"/>
                  <w:szCs w:val="22"/>
                </w:rPr>
                <w:t>https://educationendowmentfoundation.org.uk/education-evidence/evidence-reviews/attendance-interventions-rapid-evidence-assessment</w:t>
              </w:r>
            </w:hyperlink>
          </w:p>
          <w:p w14:paraId="1B2475CD" w14:textId="42FD0CAC" w:rsidR="00446D2C" w:rsidRPr="00C82AA0" w:rsidRDefault="00C82AA0" w:rsidP="00C82AA0">
            <w:pPr>
              <w:pStyle w:val="TableRowCentered"/>
              <w:jc w:val="left"/>
              <w:rPr>
                <w:i/>
                <w:iCs/>
                <w:sz w:val="22"/>
                <w:szCs w:val="22"/>
              </w:rPr>
            </w:pPr>
            <w:r>
              <w:rPr>
                <w:i/>
                <w:iCs/>
                <w:sz w:val="22"/>
                <w:szCs w:val="22"/>
              </w:rPr>
              <w:t>‘</w:t>
            </w:r>
            <w:r w:rsidR="00446D2C" w:rsidRPr="00C82AA0">
              <w:rPr>
                <w:i/>
                <w:iCs/>
                <w:sz w:val="22"/>
                <w:szCs w:val="22"/>
              </w:rPr>
              <w:t>Responsive interventions in which a member of staff or team use multiple interventions and target approaches specifically to the needs of individual pupils was found to be effective. There may be crossover with these approaches and the</w:t>
            </w:r>
            <w:r w:rsidRPr="00C82AA0">
              <w:rPr>
                <w:i/>
                <w:iCs/>
                <w:sz w:val="22"/>
                <w:szCs w:val="22"/>
              </w:rPr>
              <w:t xml:space="preserve"> </w:t>
            </w:r>
            <w:r w:rsidR="00446D2C" w:rsidRPr="00C82AA0">
              <w:rPr>
                <w:i/>
                <w:iCs/>
                <w:sz w:val="22"/>
                <w:szCs w:val="22"/>
              </w:rPr>
              <w:t>approaches used in English schools by attendance officers.</w:t>
            </w:r>
            <w:r>
              <w:rPr>
                <w:i/>
                <w:iCs/>
                <w:sz w:val="22"/>
                <w:szCs w:val="22"/>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ED2C" w14:textId="05C8C1C5" w:rsidR="00CA30C3" w:rsidRDefault="00A62C1C" w:rsidP="004A15DB">
            <w:pPr>
              <w:pStyle w:val="TableRowCentered"/>
              <w:jc w:val="left"/>
              <w:rPr>
                <w:sz w:val="22"/>
                <w:szCs w:val="22"/>
              </w:rPr>
            </w:pPr>
            <w:r>
              <w:rPr>
                <w:sz w:val="22"/>
                <w:szCs w:val="22"/>
              </w:rPr>
              <w:t>2</w:t>
            </w:r>
          </w:p>
        </w:tc>
      </w:tr>
      <w:tr w:rsidR="00E66558" w:rsidRPr="00AC06E0" w14:paraId="2A7D553F"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B1BD0EB" w:rsidR="00E66558" w:rsidRPr="00AC06E0" w:rsidRDefault="005A770D">
            <w:pPr>
              <w:pStyle w:val="TableRow"/>
              <w:rPr>
                <w:iCs/>
                <w:sz w:val="22"/>
                <w:szCs w:val="22"/>
              </w:rPr>
            </w:pPr>
            <w:r>
              <w:rPr>
                <w:iCs/>
                <w:sz w:val="22"/>
                <w:szCs w:val="22"/>
              </w:rPr>
              <w:t>Support for students’ developmental needs by p</w:t>
            </w:r>
            <w:r w:rsidR="00A22E48" w:rsidRPr="00AC06E0">
              <w:rPr>
                <w:iCs/>
                <w:sz w:val="22"/>
                <w:szCs w:val="22"/>
              </w:rPr>
              <w:t xml:space="preserve">riority </w:t>
            </w:r>
            <w:r>
              <w:rPr>
                <w:iCs/>
                <w:sz w:val="22"/>
                <w:szCs w:val="22"/>
              </w:rPr>
              <w:t>access to</w:t>
            </w:r>
            <w:r w:rsidR="00A22E48" w:rsidRPr="00AC06E0">
              <w:rPr>
                <w:iCs/>
                <w:sz w:val="22"/>
                <w:szCs w:val="22"/>
              </w:rPr>
              <w:t xml:space="preserve"> Careers Interviews to identify an appropriate post-16 pathway</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C747" w14:textId="3FADA708" w:rsidR="00446D2C" w:rsidRDefault="00C83C64" w:rsidP="00681975">
            <w:pPr>
              <w:pStyle w:val="TableRowCentered"/>
              <w:jc w:val="left"/>
              <w:rPr>
                <w:sz w:val="22"/>
                <w:szCs w:val="22"/>
              </w:rPr>
            </w:pPr>
            <w:hyperlink r:id="rId29" w:history="1">
              <w:r w:rsidR="00446D2C" w:rsidRPr="0079004C">
                <w:rPr>
                  <w:rStyle w:val="Hyperlink"/>
                  <w:sz w:val="18"/>
                  <w:szCs w:val="18"/>
                </w:rPr>
                <w:t>EEF Aspiration Interventions</w:t>
              </w:r>
            </w:hyperlink>
            <w:r w:rsidR="00446D2C">
              <w:rPr>
                <w:rStyle w:val="Hyperlink"/>
                <w:sz w:val="18"/>
                <w:szCs w:val="18"/>
              </w:rPr>
              <w:t xml:space="preserve">: </w:t>
            </w:r>
          </w:p>
          <w:p w14:paraId="2A7D553D" w14:textId="2E5A5B3F" w:rsidR="00E66558" w:rsidRPr="00446D2C" w:rsidRDefault="00446D2C" w:rsidP="00446D2C">
            <w:pPr>
              <w:pStyle w:val="TableRowCentered"/>
              <w:jc w:val="left"/>
              <w:rPr>
                <w:i/>
                <w:iCs/>
                <w:sz w:val="22"/>
                <w:szCs w:val="22"/>
              </w:rPr>
            </w:pPr>
            <w:r w:rsidRPr="00446D2C">
              <w:rPr>
                <w:i/>
                <w:iCs/>
                <w:sz w:val="22"/>
                <w:szCs w:val="22"/>
              </w:rPr>
              <w:t>‘</w:t>
            </w:r>
            <w:r w:rsidR="00681975" w:rsidRPr="00446D2C">
              <w:rPr>
                <w:i/>
                <w:iCs/>
                <w:sz w:val="22"/>
                <w:szCs w:val="22"/>
              </w:rPr>
              <w:t>Most young people have high aspirations for themselves. Ensuring that students have the knowledge and skills to progress towards their aspirations is likely to be more effective than intervening to change the aspirations themselves. Aspiration interventions without an academic component are unlikely to narrow the disadvantaged attainment gap so this strategy is supported by Teaching and Learning strategies.</w:t>
            </w:r>
            <w:r w:rsidRPr="00446D2C">
              <w:rPr>
                <w:i/>
                <w:iCs/>
                <w:sz w:val="22"/>
                <w:szCs w:val="22"/>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1BE5931" w:rsidR="00E66558" w:rsidRPr="00AC06E0" w:rsidRDefault="00A62C1C">
            <w:pPr>
              <w:pStyle w:val="TableRowCentered"/>
              <w:jc w:val="left"/>
              <w:rPr>
                <w:sz w:val="22"/>
                <w:szCs w:val="22"/>
              </w:rPr>
            </w:pPr>
            <w:r>
              <w:rPr>
                <w:sz w:val="22"/>
                <w:szCs w:val="22"/>
              </w:rPr>
              <w:t>1</w:t>
            </w:r>
          </w:p>
        </w:tc>
      </w:tr>
      <w:tr w:rsidR="00A22E48" w:rsidRPr="00AC06E0" w14:paraId="7F802F76"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34A1" w14:textId="0403B293" w:rsidR="00A22E48" w:rsidRDefault="005A770D">
            <w:pPr>
              <w:pStyle w:val="TableRow"/>
              <w:rPr>
                <w:iCs/>
                <w:sz w:val="22"/>
                <w:szCs w:val="22"/>
              </w:rPr>
            </w:pPr>
            <w:r>
              <w:rPr>
                <w:iCs/>
                <w:sz w:val="22"/>
                <w:szCs w:val="22"/>
              </w:rPr>
              <w:t>A</w:t>
            </w:r>
            <w:r w:rsidR="0091344A" w:rsidRPr="00AC06E0">
              <w:rPr>
                <w:iCs/>
                <w:sz w:val="22"/>
                <w:szCs w:val="22"/>
              </w:rPr>
              <w:t>ccess to extra-curricular clubs, t</w:t>
            </w:r>
            <w:r w:rsidR="008868FF" w:rsidRPr="00AC06E0">
              <w:rPr>
                <w:iCs/>
                <w:sz w:val="22"/>
                <w:szCs w:val="22"/>
              </w:rPr>
              <w:t>rips and visits to support the acquisition of cultural capital and foster inclusivity</w:t>
            </w:r>
          </w:p>
          <w:p w14:paraId="38972E26" w14:textId="010A7C68" w:rsidR="00250D34" w:rsidRDefault="00250D34" w:rsidP="00250D34">
            <w:pPr>
              <w:pStyle w:val="TableRow"/>
              <w:numPr>
                <w:ilvl w:val="0"/>
                <w:numId w:val="20"/>
              </w:numPr>
              <w:rPr>
                <w:iCs/>
                <w:sz w:val="22"/>
                <w:szCs w:val="22"/>
              </w:rPr>
            </w:pPr>
            <w:r>
              <w:rPr>
                <w:iCs/>
                <w:sz w:val="22"/>
                <w:szCs w:val="22"/>
              </w:rPr>
              <w:t xml:space="preserve">Monitor participation </w:t>
            </w:r>
            <w:r w:rsidR="00F70BAC">
              <w:rPr>
                <w:iCs/>
                <w:sz w:val="22"/>
                <w:szCs w:val="22"/>
              </w:rPr>
              <w:t>of</w:t>
            </w:r>
            <w:r>
              <w:rPr>
                <w:iCs/>
                <w:sz w:val="22"/>
                <w:szCs w:val="22"/>
              </w:rPr>
              <w:t xml:space="preserve"> disadvantaged students</w:t>
            </w:r>
          </w:p>
          <w:p w14:paraId="7DAAB6AA" w14:textId="5FC860D3" w:rsidR="00250D34" w:rsidRPr="00AC06E0" w:rsidRDefault="00250D34" w:rsidP="00250D34">
            <w:pPr>
              <w:pStyle w:val="TableRow"/>
              <w:numPr>
                <w:ilvl w:val="0"/>
                <w:numId w:val="20"/>
              </w:numPr>
              <w:rPr>
                <w:iCs/>
                <w:sz w:val="22"/>
                <w:szCs w:val="22"/>
              </w:rPr>
            </w:pPr>
            <w:r>
              <w:rPr>
                <w:iCs/>
                <w:sz w:val="22"/>
                <w:szCs w:val="22"/>
              </w:rPr>
              <w:t xml:space="preserve">Changes to trip protocols </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BC1A7" w14:textId="70CE852D" w:rsidR="00CB338E" w:rsidRPr="00AC06E0" w:rsidRDefault="00FA14AB">
            <w:pPr>
              <w:pStyle w:val="TableRowCentered"/>
              <w:jc w:val="left"/>
              <w:rPr>
                <w:sz w:val="22"/>
                <w:szCs w:val="22"/>
              </w:rPr>
            </w:pPr>
            <w:r w:rsidRPr="00AC06E0">
              <w:rPr>
                <w:sz w:val="22"/>
                <w:szCs w:val="22"/>
              </w:rPr>
              <w:t xml:space="preserve">Providing subsidised extra-curricular access aims to improve the aspirations and attainment of </w:t>
            </w:r>
            <w:r w:rsidR="00AC06E0" w:rsidRPr="00AC06E0">
              <w:rPr>
                <w:sz w:val="22"/>
                <w:szCs w:val="22"/>
              </w:rPr>
              <w:t>students</w:t>
            </w:r>
            <w:r w:rsidRPr="00AC06E0">
              <w:rPr>
                <w:sz w:val="22"/>
                <w:szCs w:val="22"/>
              </w:rPr>
              <w:t xml:space="preserve"> by providing learning activities beyond the normal school day, such as </w:t>
            </w:r>
            <w:r w:rsidR="00AC06E0" w:rsidRPr="00AC06E0">
              <w:rPr>
                <w:sz w:val="22"/>
                <w:szCs w:val="22"/>
              </w:rPr>
              <w:t>lunchtime</w:t>
            </w:r>
            <w:r w:rsidRPr="00AC06E0">
              <w:rPr>
                <w:sz w:val="22"/>
                <w:szCs w:val="22"/>
              </w:rPr>
              <w:t xml:space="preserve"> clubs, visits</w:t>
            </w:r>
            <w:r w:rsidR="00AC06E0" w:rsidRPr="00AC06E0">
              <w:rPr>
                <w:sz w:val="22"/>
                <w:szCs w:val="22"/>
              </w:rPr>
              <w:t>, arts participation and active, outdoor activities.</w:t>
            </w:r>
          </w:p>
          <w:p w14:paraId="0475C650" w14:textId="77777777" w:rsidR="00FA14AB" w:rsidRPr="00AC06E0" w:rsidRDefault="00FA14AB">
            <w:pPr>
              <w:pStyle w:val="TableRowCentered"/>
              <w:jc w:val="left"/>
              <w:rPr>
                <w:sz w:val="22"/>
                <w:szCs w:val="22"/>
              </w:rPr>
            </w:pPr>
          </w:p>
          <w:p w14:paraId="19293DFA" w14:textId="3F0914C7" w:rsidR="008868FF" w:rsidRPr="0079004C" w:rsidRDefault="00C83C64" w:rsidP="009170AC">
            <w:pPr>
              <w:pStyle w:val="TableRowCentered"/>
              <w:jc w:val="left"/>
              <w:rPr>
                <w:sz w:val="18"/>
                <w:szCs w:val="18"/>
              </w:rPr>
            </w:pPr>
            <w:hyperlink r:id="rId30" w:history="1">
              <w:r w:rsidR="00CB338E" w:rsidRPr="00A677BF">
                <w:rPr>
                  <w:rStyle w:val="Hyperlink"/>
                  <w:sz w:val="22"/>
                  <w:szCs w:val="22"/>
                </w:rPr>
                <w:t>https://educationendowmentfoundation.org.uk/education-evidence/teaching-learning-toolkit/arts-participation</w:t>
              </w:r>
            </w:hyperlink>
            <w:r w:rsidR="008868FF" w:rsidRPr="00A677BF">
              <w:rPr>
                <w:sz w:val="22"/>
                <w:szCs w:val="22"/>
              </w:rPr>
              <w:t xml:space="preserve"> </w:t>
            </w:r>
            <w:r w:rsidR="009170AC" w:rsidRPr="00A677BF">
              <w:rPr>
                <w:sz w:val="22"/>
                <w:szCs w:val="22"/>
              </w:rPr>
              <w:t>‘</w:t>
            </w:r>
            <w:r w:rsidR="009170AC" w:rsidRPr="00A677BF">
              <w:rPr>
                <w:i/>
                <w:iCs/>
                <w:sz w:val="22"/>
                <w:szCs w:val="22"/>
              </w:rPr>
              <w:t>There is intrinsic value in teaching pupils creative and performance skills and ensuring disadvantaged pupils access a rich and stimulating arts education. Arts participation may be delivered within the core curriculum, or though extra-curricular or cultural trips which can be subject to financial barriers for pupils from deprived backgrounds. There is some evidence to suggest a causal link between arts education and the use of arts-based approaches with overall educational attainment.</w:t>
            </w:r>
            <w:r w:rsidR="009170AC" w:rsidRPr="009170AC">
              <w:rPr>
                <w:i/>
                <w:iCs/>
                <w:sz w:val="18"/>
                <w:szCs w:val="18"/>
              </w:rPr>
              <w:t>’</w:t>
            </w:r>
          </w:p>
          <w:p w14:paraId="22CEE5E0" w14:textId="77777777" w:rsidR="008868FF" w:rsidRPr="00A677BF" w:rsidRDefault="00C83C64">
            <w:pPr>
              <w:pStyle w:val="TableRowCentered"/>
              <w:jc w:val="left"/>
              <w:rPr>
                <w:sz w:val="22"/>
                <w:szCs w:val="22"/>
              </w:rPr>
            </w:pPr>
            <w:hyperlink r:id="rId31" w:history="1">
              <w:r w:rsidR="008868FF" w:rsidRPr="00A677BF">
                <w:rPr>
                  <w:rStyle w:val="Hyperlink"/>
                  <w:sz w:val="22"/>
                  <w:szCs w:val="22"/>
                </w:rPr>
                <w:t>https://educationendowmentfoundation.org.uk/education-evidence/teaching-learning-toolkit/outdoor-adventure-learning</w:t>
              </w:r>
            </w:hyperlink>
            <w:r w:rsidR="008868FF" w:rsidRPr="00A677BF">
              <w:rPr>
                <w:sz w:val="22"/>
                <w:szCs w:val="22"/>
              </w:rPr>
              <w:t xml:space="preserve"> </w:t>
            </w:r>
          </w:p>
          <w:p w14:paraId="354A41F9" w14:textId="4A84566E" w:rsidR="008868FF" w:rsidRPr="00A677BF" w:rsidRDefault="00A677BF" w:rsidP="00A677BF">
            <w:pPr>
              <w:pStyle w:val="TableRowCentered"/>
              <w:jc w:val="left"/>
              <w:rPr>
                <w:i/>
                <w:iCs/>
                <w:sz w:val="22"/>
                <w:szCs w:val="22"/>
              </w:rPr>
            </w:pPr>
            <w:r w:rsidRPr="00A677BF">
              <w:rPr>
                <w:i/>
                <w:iCs/>
                <w:sz w:val="22"/>
                <w:szCs w:val="22"/>
              </w:rPr>
              <w:t>‘Outdoor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 The application of these non-cognitive skills in the classroom may in turn have a positive effect on academic outcomes.’</w:t>
            </w:r>
          </w:p>
          <w:p w14:paraId="0579C16D" w14:textId="77777777" w:rsidR="008868FF" w:rsidRDefault="00C83C64">
            <w:pPr>
              <w:pStyle w:val="TableRowCentered"/>
              <w:jc w:val="left"/>
              <w:rPr>
                <w:sz w:val="18"/>
                <w:szCs w:val="18"/>
              </w:rPr>
            </w:pPr>
            <w:hyperlink r:id="rId32" w:history="1">
              <w:r w:rsidR="008868FF" w:rsidRPr="0079004C">
                <w:rPr>
                  <w:rStyle w:val="Hyperlink"/>
                  <w:sz w:val="18"/>
                  <w:szCs w:val="18"/>
                </w:rPr>
                <w:t>https://educationendowmentfoundation.org.uk/education-evidence/teaching-learning-toolkit/physical-activity</w:t>
              </w:r>
            </w:hyperlink>
            <w:r w:rsidR="008868FF" w:rsidRPr="0079004C">
              <w:rPr>
                <w:sz w:val="18"/>
                <w:szCs w:val="18"/>
              </w:rPr>
              <w:t xml:space="preserve"> </w:t>
            </w:r>
          </w:p>
          <w:p w14:paraId="192E805C" w14:textId="3B85EAFC" w:rsidR="00A677BF" w:rsidRPr="00A677BF" w:rsidRDefault="00A677BF">
            <w:pPr>
              <w:pStyle w:val="TableRowCentered"/>
              <w:jc w:val="left"/>
              <w:rPr>
                <w:i/>
                <w:iCs/>
                <w:sz w:val="22"/>
                <w:szCs w:val="22"/>
              </w:rPr>
            </w:pPr>
            <w:r>
              <w:rPr>
                <w:i/>
                <w:iCs/>
                <w:sz w:val="22"/>
                <w:szCs w:val="22"/>
              </w:rPr>
              <w:t>‘</w:t>
            </w:r>
            <w:r w:rsidRPr="00A677BF">
              <w:rPr>
                <w:i/>
                <w:iCs/>
                <w:sz w:val="22"/>
                <w:szCs w:val="22"/>
              </w:rPr>
              <w:t>Pupils from disadvantaged backgrounds may be less likely to be able to benefit from sport clubs and other physical activities outside of school due to the associated financial costs (</w:t>
            </w:r>
            <w:proofErr w:type="gramStart"/>
            <w:r w:rsidRPr="00A677BF">
              <w:rPr>
                <w:i/>
                <w:iCs/>
                <w:sz w:val="22"/>
                <w:szCs w:val="22"/>
              </w:rPr>
              <w:t>e.g.</w:t>
            </w:r>
            <w:proofErr w:type="gramEnd"/>
            <w:r w:rsidRPr="00A677BF">
              <w:rPr>
                <w:i/>
                <w:iCs/>
                <w:sz w:val="22"/>
                <w:szCs w:val="22"/>
              </w:rPr>
              <w:t xml:space="preserve"> equipment). By providing physical activities free of charge, schools give pupils access to benefits and opportunities that might not otherwise be available to them.</w:t>
            </w:r>
            <w:r>
              <w:rPr>
                <w:i/>
                <w:iCs/>
                <w:sz w:val="22"/>
                <w:szCs w:val="22"/>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F12C7" w14:textId="0A0CC87A" w:rsidR="00A22E48" w:rsidRPr="00AC06E0" w:rsidRDefault="00A62C1C">
            <w:pPr>
              <w:pStyle w:val="TableRowCentered"/>
              <w:jc w:val="left"/>
              <w:rPr>
                <w:sz w:val="22"/>
                <w:szCs w:val="22"/>
              </w:rPr>
            </w:pPr>
            <w:r>
              <w:rPr>
                <w:sz w:val="22"/>
                <w:szCs w:val="22"/>
              </w:rPr>
              <w:t>1</w:t>
            </w:r>
          </w:p>
        </w:tc>
      </w:tr>
      <w:tr w:rsidR="005A770D" w:rsidRPr="00AC06E0" w14:paraId="7EA31192" w14:textId="77777777" w:rsidTr="0031083B">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340" w14:textId="77777777" w:rsidR="005A770D" w:rsidRDefault="005A770D">
            <w:pPr>
              <w:pStyle w:val="TableRow"/>
              <w:rPr>
                <w:iCs/>
                <w:sz w:val="22"/>
                <w:szCs w:val="22"/>
              </w:rPr>
            </w:pPr>
            <w:r w:rsidRPr="005A770D">
              <w:rPr>
                <w:iCs/>
                <w:sz w:val="22"/>
                <w:szCs w:val="22"/>
              </w:rPr>
              <w:t>Communicating with and supporting parents</w:t>
            </w:r>
          </w:p>
          <w:p w14:paraId="482D4387" w14:textId="0660EBEF" w:rsidR="0089357E" w:rsidRDefault="0089357E" w:rsidP="005A770D">
            <w:pPr>
              <w:pStyle w:val="TableRow"/>
              <w:numPr>
                <w:ilvl w:val="0"/>
                <w:numId w:val="20"/>
              </w:numPr>
              <w:rPr>
                <w:iCs/>
                <w:sz w:val="22"/>
                <w:szCs w:val="22"/>
              </w:rPr>
            </w:pPr>
            <w:r>
              <w:rPr>
                <w:iCs/>
                <w:sz w:val="22"/>
                <w:szCs w:val="22"/>
              </w:rPr>
              <w:t>Attendance team contact with parents</w:t>
            </w:r>
          </w:p>
          <w:p w14:paraId="2C2CE8DD" w14:textId="0E21F7D4" w:rsidR="005A770D" w:rsidRDefault="005A770D" w:rsidP="005A770D">
            <w:pPr>
              <w:pStyle w:val="TableRow"/>
              <w:numPr>
                <w:ilvl w:val="0"/>
                <w:numId w:val="20"/>
              </w:numPr>
              <w:rPr>
                <w:iCs/>
                <w:sz w:val="22"/>
                <w:szCs w:val="22"/>
              </w:rPr>
            </w:pPr>
            <w:r>
              <w:rPr>
                <w:iCs/>
                <w:sz w:val="22"/>
                <w:szCs w:val="22"/>
              </w:rPr>
              <w:t>Support for booking parents’ evening appointments</w:t>
            </w:r>
          </w:p>
          <w:p w14:paraId="657AEA4A" w14:textId="77777777" w:rsidR="005A770D" w:rsidRDefault="005A770D" w:rsidP="005A770D">
            <w:pPr>
              <w:pStyle w:val="TableRow"/>
              <w:numPr>
                <w:ilvl w:val="0"/>
                <w:numId w:val="20"/>
              </w:numPr>
              <w:rPr>
                <w:iCs/>
                <w:sz w:val="22"/>
                <w:szCs w:val="22"/>
              </w:rPr>
            </w:pPr>
            <w:r>
              <w:rPr>
                <w:iCs/>
                <w:sz w:val="22"/>
                <w:szCs w:val="22"/>
              </w:rPr>
              <w:t xml:space="preserve">Return to face-to-face appointments </w:t>
            </w:r>
          </w:p>
          <w:p w14:paraId="4A7F3BB2" w14:textId="77777777" w:rsidR="005A770D" w:rsidRDefault="005A770D" w:rsidP="005A770D">
            <w:pPr>
              <w:pStyle w:val="TableRow"/>
              <w:numPr>
                <w:ilvl w:val="0"/>
                <w:numId w:val="20"/>
              </w:numPr>
              <w:rPr>
                <w:iCs/>
                <w:sz w:val="22"/>
                <w:szCs w:val="22"/>
              </w:rPr>
            </w:pPr>
            <w:r>
              <w:rPr>
                <w:iCs/>
                <w:sz w:val="22"/>
                <w:szCs w:val="22"/>
              </w:rPr>
              <w:t xml:space="preserve">Communication of praise for students </w:t>
            </w:r>
          </w:p>
          <w:p w14:paraId="34739528" w14:textId="645C7848" w:rsidR="0089357E" w:rsidRDefault="0089357E" w:rsidP="0089357E">
            <w:pPr>
              <w:pStyle w:val="TableRow"/>
              <w:ind w:left="0"/>
              <w:rPr>
                <w:iCs/>
                <w:sz w:val="22"/>
                <w:szCs w:val="22"/>
              </w:rPr>
            </w:pP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F976" w14:textId="77777777" w:rsidR="005A770D" w:rsidRDefault="00C83C64">
            <w:pPr>
              <w:pStyle w:val="TableRowCentered"/>
              <w:jc w:val="left"/>
              <w:rPr>
                <w:sz w:val="18"/>
                <w:szCs w:val="18"/>
              </w:rPr>
            </w:pPr>
            <w:hyperlink r:id="rId33" w:history="1">
              <w:r w:rsidR="005A770D" w:rsidRPr="0079004C">
                <w:rPr>
                  <w:rStyle w:val="Hyperlink"/>
                  <w:sz w:val="18"/>
                  <w:szCs w:val="18"/>
                </w:rPr>
                <w:t>https://educationendowmentfoundation.org.uk/education-evidence/teaching-learning-toolkit/parental-engagement</w:t>
              </w:r>
            </w:hyperlink>
            <w:r w:rsidR="005A770D" w:rsidRPr="0079004C">
              <w:rPr>
                <w:sz w:val="18"/>
                <w:szCs w:val="18"/>
              </w:rPr>
              <w:t xml:space="preserve"> </w:t>
            </w:r>
          </w:p>
          <w:p w14:paraId="25342A4E" w14:textId="77777777" w:rsidR="009170AC" w:rsidRPr="009170AC" w:rsidRDefault="009170AC" w:rsidP="009170AC">
            <w:pPr>
              <w:pStyle w:val="TableRowCentered"/>
              <w:jc w:val="left"/>
              <w:rPr>
                <w:i/>
                <w:iCs/>
                <w:sz w:val="22"/>
                <w:szCs w:val="22"/>
              </w:rPr>
            </w:pPr>
            <w:r w:rsidRPr="009170AC">
              <w:rPr>
                <w:i/>
                <w:iCs/>
                <w:sz w:val="22"/>
                <w:szCs w:val="22"/>
              </w:rPr>
              <w:t>By designing and delivering effective approaches to support parental engagement, schools and teachers may be able to mitigate some of the causes of educational disadvantage, supporting parents to assist their children’s learning or their self-regulation, as well as specific skills, such as reading. There is some evidence that personalised messages to parents, linked to learning can promote positive interactions.</w:t>
            </w:r>
          </w:p>
          <w:p w14:paraId="25D8C841" w14:textId="77777777" w:rsidR="009170AC" w:rsidRDefault="009170AC">
            <w:pPr>
              <w:pStyle w:val="TableRowCentered"/>
              <w:jc w:val="left"/>
              <w:rPr>
                <w:sz w:val="18"/>
                <w:szCs w:val="18"/>
              </w:rPr>
            </w:pPr>
          </w:p>
          <w:p w14:paraId="0495C810" w14:textId="77777777" w:rsidR="009170AC" w:rsidRDefault="00C83C64" w:rsidP="009170AC">
            <w:pPr>
              <w:pStyle w:val="TableRowCentered"/>
              <w:jc w:val="left"/>
              <w:rPr>
                <w:sz w:val="22"/>
                <w:szCs w:val="22"/>
              </w:rPr>
            </w:pPr>
            <w:hyperlink r:id="rId34" w:history="1">
              <w:r w:rsidR="009170AC" w:rsidRPr="00951D1B">
                <w:rPr>
                  <w:rStyle w:val="Hyperlink"/>
                  <w:sz w:val="22"/>
                  <w:szCs w:val="22"/>
                </w:rPr>
                <w:t>https://educationendowmentfoundation.org.uk/education-evidence/guidance-reports/supporting-parents</w:t>
              </w:r>
            </w:hyperlink>
            <w:r w:rsidR="009170AC">
              <w:rPr>
                <w:sz w:val="22"/>
                <w:szCs w:val="22"/>
              </w:rPr>
              <w:t xml:space="preserve"> </w:t>
            </w:r>
          </w:p>
          <w:p w14:paraId="512DF94B" w14:textId="0128C14B" w:rsidR="009170AC" w:rsidRPr="0079004C" w:rsidRDefault="009170AC" w:rsidP="009170AC">
            <w:pPr>
              <w:pStyle w:val="TableRowCentered"/>
              <w:jc w:val="left"/>
              <w:rPr>
                <w:sz w:val="18"/>
                <w:szCs w:val="18"/>
              </w:rPr>
            </w:pPr>
            <w:r>
              <w:rPr>
                <w:sz w:val="22"/>
                <w:szCs w:val="22"/>
              </w:rPr>
              <w:t>‘</w:t>
            </w:r>
            <w:r w:rsidRPr="009170AC">
              <w:rPr>
                <w:i/>
                <w:iCs/>
                <w:sz w:val="22"/>
                <w:szCs w:val="22"/>
              </w:rPr>
              <w:t>More sustained and intensive approaches to support parental engagement may be needed for some children—for example, those struggling with early reading, those from disadvantaged backgrounds, or those with behavioural difficulties…Some form of targeting is usually required to use resources effectively and to avoid widening gaps, so an analysis of needs is a logical starting point. It is also important that targeting is done sensitively to avoid stigmatising, blaming, or discouraging</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A34F" w14:textId="16F66856" w:rsidR="005A770D" w:rsidRDefault="00A62C1C">
            <w:pPr>
              <w:pStyle w:val="TableRowCentered"/>
              <w:jc w:val="left"/>
              <w:rPr>
                <w:sz w:val="22"/>
                <w:szCs w:val="22"/>
              </w:rPr>
            </w:pPr>
            <w:r>
              <w:rPr>
                <w:sz w:val="22"/>
                <w:szCs w:val="22"/>
              </w:rPr>
              <w:t>1,2,3</w:t>
            </w:r>
          </w:p>
        </w:tc>
      </w:tr>
    </w:tbl>
    <w:p w14:paraId="2A7D5540" w14:textId="77777777" w:rsidR="00E66558" w:rsidRDefault="00E66558">
      <w:pPr>
        <w:spacing w:before="240" w:after="0"/>
        <w:rPr>
          <w:b/>
          <w:bCs/>
          <w:color w:val="104F75"/>
          <w:sz w:val="28"/>
          <w:szCs w:val="28"/>
        </w:rPr>
      </w:pPr>
    </w:p>
    <w:p w14:paraId="2A7D5541" w14:textId="38EB76D9" w:rsidR="00E66558" w:rsidRDefault="00D56975" w:rsidP="00120AB1">
      <w:r>
        <w:rPr>
          <w:b/>
          <w:bCs/>
          <w:color w:val="104F75"/>
          <w:sz w:val="28"/>
          <w:szCs w:val="28"/>
        </w:rPr>
        <w:t xml:space="preserve">Total budgeted cost: </w:t>
      </w:r>
      <w:r w:rsidR="005F3782" w:rsidRPr="005F3782">
        <w:rPr>
          <w:b/>
          <w:bCs/>
          <w:color w:val="104F75"/>
          <w:sz w:val="28"/>
          <w:szCs w:val="28"/>
        </w:rPr>
        <w:t>£</w:t>
      </w:r>
      <w:r w:rsidR="00A62C1C" w:rsidRPr="00A62C1C">
        <w:rPr>
          <w:b/>
          <w:bCs/>
          <w:color w:val="104F75"/>
          <w:sz w:val="28"/>
          <w:szCs w:val="28"/>
        </w:rPr>
        <w:t>170,520</w:t>
      </w:r>
    </w:p>
    <w:p w14:paraId="148CCAB4" w14:textId="77777777" w:rsidR="00AA08C6" w:rsidRDefault="00AA08C6" w:rsidP="00AA08C6">
      <w:pPr>
        <w:pStyle w:val="Heading1"/>
      </w:pPr>
      <w:r>
        <w:t>Part B: Review of the previous academic year</w:t>
      </w:r>
    </w:p>
    <w:p w14:paraId="251FB415" w14:textId="1CD07A5C" w:rsidR="00AA08C6" w:rsidRDefault="00AA08C6" w:rsidP="00C270D8">
      <w:pPr>
        <w:pStyle w:val="Heading2"/>
      </w:pPr>
      <w: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AA08C6" w14:paraId="67DEDD49" w14:textId="77777777" w:rsidTr="003911E0">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F38F8" w14:textId="39CB9454" w:rsidR="009D2C19" w:rsidRDefault="009D2C19" w:rsidP="003911E0">
            <w:pPr>
              <w:autoSpaceDN/>
              <w:spacing w:before="120"/>
              <w:rPr>
                <w:rFonts w:cs="Arial"/>
                <w:color w:val="auto"/>
                <w:sz w:val="22"/>
                <w:szCs w:val="22"/>
                <w:lang w:eastAsia="en-US"/>
              </w:rPr>
            </w:pPr>
            <w:r>
              <w:rPr>
                <w:rFonts w:cs="Arial"/>
                <w:color w:val="auto"/>
                <w:sz w:val="22"/>
                <w:szCs w:val="22"/>
                <w:lang w:eastAsia="en-US"/>
              </w:rPr>
              <w:t>The academic year 202</w:t>
            </w:r>
            <w:r w:rsidR="00A62C1C">
              <w:rPr>
                <w:rFonts w:cs="Arial"/>
                <w:color w:val="auto"/>
                <w:sz w:val="22"/>
                <w:szCs w:val="22"/>
                <w:lang w:eastAsia="en-US"/>
              </w:rPr>
              <w:t>3</w:t>
            </w:r>
            <w:r>
              <w:rPr>
                <w:rFonts w:cs="Arial"/>
                <w:color w:val="auto"/>
                <w:sz w:val="22"/>
                <w:szCs w:val="22"/>
                <w:lang w:eastAsia="en-US"/>
              </w:rPr>
              <w:t>/2</w:t>
            </w:r>
            <w:r w:rsidR="00A62C1C">
              <w:rPr>
                <w:rFonts w:cs="Arial"/>
                <w:color w:val="auto"/>
                <w:sz w:val="22"/>
                <w:szCs w:val="22"/>
                <w:lang w:eastAsia="en-US"/>
              </w:rPr>
              <w:t>4</w:t>
            </w:r>
            <w:r>
              <w:rPr>
                <w:rFonts w:cs="Arial"/>
                <w:color w:val="auto"/>
                <w:sz w:val="22"/>
                <w:szCs w:val="22"/>
                <w:lang w:eastAsia="en-US"/>
              </w:rPr>
              <w:t xml:space="preserve"> was the </w:t>
            </w:r>
            <w:r w:rsidR="00A62C1C">
              <w:rPr>
                <w:rFonts w:cs="Arial"/>
                <w:color w:val="auto"/>
                <w:sz w:val="22"/>
                <w:szCs w:val="22"/>
                <w:lang w:eastAsia="en-US"/>
              </w:rPr>
              <w:t>third</w:t>
            </w:r>
            <w:r>
              <w:rPr>
                <w:rFonts w:cs="Arial"/>
                <w:color w:val="auto"/>
                <w:sz w:val="22"/>
                <w:szCs w:val="22"/>
                <w:lang w:eastAsia="en-US"/>
              </w:rPr>
              <w:t xml:space="preserve"> year of our strategy and we saw real progress </w:t>
            </w:r>
            <w:r w:rsidR="000B5A25">
              <w:rPr>
                <w:rFonts w:cs="Arial"/>
                <w:color w:val="auto"/>
                <w:sz w:val="22"/>
                <w:szCs w:val="22"/>
                <w:lang w:eastAsia="en-US"/>
              </w:rPr>
              <w:t>i</w:t>
            </w:r>
            <w:r>
              <w:rPr>
                <w:rFonts w:cs="Arial"/>
                <w:color w:val="auto"/>
                <w:sz w:val="22"/>
                <w:szCs w:val="22"/>
                <w:lang w:eastAsia="en-US"/>
              </w:rPr>
              <w:t xml:space="preserve">n addressing our challenges. Our </w:t>
            </w:r>
            <w:r w:rsidR="000B5A25">
              <w:rPr>
                <w:rFonts w:cs="Arial"/>
                <w:color w:val="auto"/>
                <w:sz w:val="22"/>
                <w:szCs w:val="22"/>
                <w:lang w:eastAsia="en-US"/>
              </w:rPr>
              <w:t>intent to</w:t>
            </w:r>
            <w:r>
              <w:rPr>
                <w:rFonts w:cs="Arial"/>
                <w:color w:val="auto"/>
                <w:sz w:val="22"/>
                <w:szCs w:val="22"/>
                <w:lang w:eastAsia="en-US"/>
              </w:rPr>
              <w:t xml:space="preserve"> </w:t>
            </w:r>
            <w:r w:rsidR="000B5A25">
              <w:rPr>
                <w:rFonts w:cs="Arial"/>
                <w:color w:val="auto"/>
                <w:sz w:val="22"/>
                <w:szCs w:val="22"/>
                <w:lang w:eastAsia="en-US"/>
              </w:rPr>
              <w:t>create a culture</w:t>
            </w:r>
            <w:r>
              <w:rPr>
                <w:rFonts w:cs="Arial"/>
                <w:color w:val="auto"/>
                <w:sz w:val="22"/>
                <w:szCs w:val="22"/>
                <w:lang w:eastAsia="en-US"/>
              </w:rPr>
              <w:t xml:space="preserve"> </w:t>
            </w:r>
            <w:r w:rsidR="000B5A25">
              <w:rPr>
                <w:rFonts w:cs="Arial"/>
                <w:color w:val="auto"/>
                <w:sz w:val="22"/>
                <w:szCs w:val="22"/>
                <w:lang w:eastAsia="en-US"/>
              </w:rPr>
              <w:t xml:space="preserve">which foregrounds the success of disadvantaged students </w:t>
            </w:r>
            <w:r>
              <w:rPr>
                <w:rFonts w:cs="Arial"/>
                <w:color w:val="auto"/>
                <w:sz w:val="22"/>
                <w:szCs w:val="22"/>
                <w:lang w:eastAsia="en-US"/>
              </w:rPr>
              <w:t xml:space="preserve">was recognised by inspectors </w:t>
            </w:r>
            <w:r w:rsidR="000B5A25">
              <w:rPr>
                <w:rFonts w:cs="Arial"/>
                <w:color w:val="auto"/>
                <w:sz w:val="22"/>
                <w:szCs w:val="22"/>
                <w:lang w:eastAsia="en-US"/>
              </w:rPr>
              <w:t xml:space="preserve">during our ‘Outstanding’ Ofsted inspection in September 2023 </w:t>
            </w:r>
            <w:r>
              <w:rPr>
                <w:rFonts w:cs="Arial"/>
                <w:color w:val="auto"/>
                <w:sz w:val="22"/>
                <w:szCs w:val="22"/>
                <w:lang w:eastAsia="en-US"/>
              </w:rPr>
              <w:t xml:space="preserve">who commented that </w:t>
            </w:r>
            <w:r w:rsidR="000B5A25">
              <w:rPr>
                <w:rFonts w:cs="Arial"/>
                <w:color w:val="auto"/>
                <w:sz w:val="22"/>
                <w:szCs w:val="22"/>
                <w:lang w:eastAsia="en-US"/>
              </w:rPr>
              <w:t>the support for disadvantaged students is ‘in the DNA of the school’.</w:t>
            </w:r>
          </w:p>
          <w:p w14:paraId="52063421" w14:textId="5881EF42" w:rsidR="00E24F4E" w:rsidRDefault="00E24F4E" w:rsidP="003911E0">
            <w:pPr>
              <w:autoSpaceDN/>
              <w:spacing w:before="120"/>
              <w:rPr>
                <w:rFonts w:cs="Arial"/>
                <w:color w:val="auto"/>
                <w:sz w:val="22"/>
                <w:szCs w:val="22"/>
                <w:lang w:eastAsia="en-US"/>
              </w:rPr>
            </w:pPr>
            <w:r>
              <w:rPr>
                <w:rFonts w:cs="Arial"/>
                <w:color w:val="auto"/>
                <w:sz w:val="22"/>
                <w:szCs w:val="22"/>
                <w:lang w:eastAsia="en-US"/>
              </w:rPr>
              <w:t>We continue to have a relatively small cohort of disadvantage, at 10% compared to 18.7% in York and 28.9% nationally</w:t>
            </w:r>
            <w:r w:rsidR="00967504">
              <w:rPr>
                <w:rFonts w:cs="Arial"/>
                <w:color w:val="auto"/>
                <w:sz w:val="22"/>
                <w:szCs w:val="22"/>
                <w:lang w:eastAsia="en-US"/>
              </w:rPr>
              <w:t>, creating specific circumstance and unique challenges.</w:t>
            </w:r>
          </w:p>
          <w:p w14:paraId="1998F8DA" w14:textId="6E234CE2" w:rsidR="009D2C19" w:rsidRPr="00967504" w:rsidRDefault="00967504" w:rsidP="00967504">
            <w:pPr>
              <w:pStyle w:val="ListParagraph"/>
              <w:numPr>
                <w:ilvl w:val="0"/>
                <w:numId w:val="23"/>
              </w:numPr>
              <w:autoSpaceDN/>
              <w:spacing w:before="120"/>
              <w:rPr>
                <w:color w:val="auto"/>
                <w:sz w:val="22"/>
                <w:szCs w:val="22"/>
                <w:lang w:eastAsia="en-US"/>
              </w:rPr>
            </w:pPr>
            <w:r w:rsidRPr="00967504">
              <w:rPr>
                <w:color w:val="auto"/>
                <w:sz w:val="22"/>
                <w:szCs w:val="22"/>
                <w:lang w:eastAsia="en-US"/>
              </w:rPr>
              <w:t xml:space="preserve">For attendance rates in 2023/24, </w:t>
            </w:r>
            <w:r w:rsidR="009D2C19" w:rsidRPr="00967504">
              <w:rPr>
                <w:color w:val="auto"/>
                <w:sz w:val="22"/>
                <w:szCs w:val="22"/>
                <w:lang w:eastAsia="en-US"/>
              </w:rPr>
              <w:t xml:space="preserve">Fulford School was recognised as an FFT top </w:t>
            </w:r>
            <w:r w:rsidR="00A62C1C" w:rsidRPr="00967504">
              <w:rPr>
                <w:color w:val="auto"/>
                <w:sz w:val="22"/>
                <w:szCs w:val="22"/>
                <w:lang w:eastAsia="en-US"/>
              </w:rPr>
              <w:t>25</w:t>
            </w:r>
            <w:r w:rsidR="009D2C19" w:rsidRPr="00967504">
              <w:rPr>
                <w:color w:val="auto"/>
                <w:sz w:val="22"/>
                <w:szCs w:val="22"/>
                <w:lang w:eastAsia="en-US"/>
              </w:rPr>
              <w:t xml:space="preserve">% school. Nationally, disadvantaged students’ attendance </w:t>
            </w:r>
            <w:r w:rsidR="00CF311A" w:rsidRPr="00967504">
              <w:rPr>
                <w:color w:val="auto"/>
                <w:sz w:val="22"/>
                <w:szCs w:val="22"/>
                <w:lang w:eastAsia="en-US"/>
              </w:rPr>
              <w:t>wa</w:t>
            </w:r>
            <w:r w:rsidR="009D2C19" w:rsidRPr="00967504">
              <w:rPr>
                <w:color w:val="auto"/>
                <w:sz w:val="22"/>
                <w:szCs w:val="22"/>
                <w:lang w:eastAsia="en-US"/>
              </w:rPr>
              <w:t xml:space="preserve">s </w:t>
            </w:r>
            <w:r w:rsidR="00B245EB" w:rsidRPr="00967504">
              <w:rPr>
                <w:color w:val="auto"/>
                <w:sz w:val="22"/>
                <w:szCs w:val="22"/>
                <w:lang w:eastAsia="en-US"/>
              </w:rPr>
              <w:t>85.</w:t>
            </w:r>
            <w:r w:rsidR="00CF311A" w:rsidRPr="00967504">
              <w:rPr>
                <w:color w:val="auto"/>
                <w:sz w:val="22"/>
                <w:szCs w:val="22"/>
                <w:lang w:eastAsia="en-US"/>
              </w:rPr>
              <w:t>7</w:t>
            </w:r>
            <w:r w:rsidR="00B245EB" w:rsidRPr="00967504">
              <w:rPr>
                <w:color w:val="auto"/>
                <w:sz w:val="22"/>
                <w:szCs w:val="22"/>
                <w:lang w:eastAsia="en-US"/>
              </w:rPr>
              <w:t>% compared to 8</w:t>
            </w:r>
            <w:r w:rsidR="00A62C1C" w:rsidRPr="00967504">
              <w:rPr>
                <w:color w:val="auto"/>
                <w:sz w:val="22"/>
                <w:szCs w:val="22"/>
                <w:lang w:eastAsia="en-US"/>
              </w:rPr>
              <w:t>5</w:t>
            </w:r>
            <w:r w:rsidR="00B245EB" w:rsidRPr="00967504">
              <w:rPr>
                <w:color w:val="auto"/>
                <w:sz w:val="22"/>
                <w:szCs w:val="22"/>
                <w:lang w:eastAsia="en-US"/>
              </w:rPr>
              <w:t>.</w:t>
            </w:r>
            <w:r w:rsidR="00CF311A" w:rsidRPr="00967504">
              <w:rPr>
                <w:color w:val="auto"/>
                <w:sz w:val="22"/>
                <w:szCs w:val="22"/>
                <w:lang w:eastAsia="en-US"/>
              </w:rPr>
              <w:t>4</w:t>
            </w:r>
            <w:r w:rsidR="00B245EB" w:rsidRPr="00967504">
              <w:rPr>
                <w:color w:val="auto"/>
                <w:sz w:val="22"/>
                <w:szCs w:val="22"/>
                <w:lang w:eastAsia="en-US"/>
              </w:rPr>
              <w:t>% at Fulford</w:t>
            </w:r>
            <w:r w:rsidR="00CF311A" w:rsidRPr="00967504">
              <w:rPr>
                <w:color w:val="auto"/>
                <w:sz w:val="22"/>
                <w:szCs w:val="22"/>
                <w:lang w:eastAsia="en-US"/>
              </w:rPr>
              <w:t xml:space="preserve"> (FFT360 Data May 2024 FSM students)</w:t>
            </w:r>
            <w:r w:rsidR="00B245EB" w:rsidRPr="00967504">
              <w:rPr>
                <w:color w:val="auto"/>
                <w:sz w:val="22"/>
                <w:szCs w:val="22"/>
                <w:lang w:eastAsia="en-US"/>
              </w:rPr>
              <w:t>.</w:t>
            </w:r>
            <w:r w:rsidR="00E24F4E" w:rsidRPr="00967504">
              <w:rPr>
                <w:color w:val="auto"/>
                <w:sz w:val="22"/>
                <w:szCs w:val="22"/>
                <w:lang w:eastAsia="en-US"/>
              </w:rPr>
              <w:t xml:space="preserve"> This reflects a local York context with a +7.7% gap between the attendance of disadvantaged and non-disadvantaged students</w:t>
            </w:r>
            <w:r w:rsidR="00E029A6" w:rsidRPr="00967504">
              <w:rPr>
                <w:color w:val="auto"/>
                <w:sz w:val="22"/>
                <w:szCs w:val="22"/>
                <w:lang w:eastAsia="en-US"/>
              </w:rPr>
              <w:t xml:space="preserve"> across the city</w:t>
            </w:r>
            <w:r w:rsidR="00E24F4E" w:rsidRPr="00967504">
              <w:rPr>
                <w:color w:val="auto"/>
                <w:sz w:val="22"/>
                <w:szCs w:val="22"/>
                <w:lang w:eastAsia="en-US"/>
              </w:rPr>
              <w:t xml:space="preserve"> (100</w:t>
            </w:r>
            <w:r w:rsidR="00E24F4E" w:rsidRPr="00967504">
              <w:rPr>
                <w:color w:val="auto"/>
                <w:sz w:val="22"/>
                <w:szCs w:val="22"/>
                <w:vertAlign w:val="superscript"/>
                <w:lang w:eastAsia="en-US"/>
              </w:rPr>
              <w:t>th</w:t>
            </w:r>
            <w:r w:rsidR="00E24F4E" w:rsidRPr="00967504">
              <w:rPr>
                <w:color w:val="auto"/>
                <w:sz w:val="22"/>
                <w:szCs w:val="22"/>
                <w:lang w:eastAsia="en-US"/>
              </w:rPr>
              <w:t xml:space="preserve"> percentile rank). </w:t>
            </w:r>
          </w:p>
          <w:p w14:paraId="0713F0E2" w14:textId="53A57F6F" w:rsidR="00B245EB" w:rsidRPr="00967504" w:rsidRDefault="000B5A25" w:rsidP="00967504">
            <w:pPr>
              <w:pStyle w:val="ListParagraph"/>
              <w:numPr>
                <w:ilvl w:val="0"/>
                <w:numId w:val="23"/>
              </w:numPr>
              <w:autoSpaceDN/>
              <w:spacing w:before="120"/>
              <w:rPr>
                <w:color w:val="auto"/>
                <w:sz w:val="22"/>
                <w:szCs w:val="22"/>
                <w:lang w:eastAsia="en-US"/>
              </w:rPr>
            </w:pPr>
            <w:r w:rsidRPr="00967504">
              <w:rPr>
                <w:color w:val="auto"/>
                <w:sz w:val="22"/>
                <w:szCs w:val="22"/>
                <w:lang w:eastAsia="en-US"/>
              </w:rPr>
              <w:t>Participation rates in</w:t>
            </w:r>
            <w:r w:rsidR="00B245EB" w:rsidRPr="00967504">
              <w:rPr>
                <w:color w:val="auto"/>
                <w:sz w:val="22"/>
                <w:szCs w:val="22"/>
                <w:lang w:eastAsia="en-US"/>
              </w:rPr>
              <w:t xml:space="preserve"> e</w:t>
            </w:r>
            <w:r w:rsidR="009D2C19" w:rsidRPr="00967504">
              <w:rPr>
                <w:color w:val="auto"/>
                <w:sz w:val="22"/>
                <w:szCs w:val="22"/>
                <w:lang w:eastAsia="en-US"/>
              </w:rPr>
              <w:t xml:space="preserve">xtra-curricular </w:t>
            </w:r>
            <w:r w:rsidRPr="00967504">
              <w:rPr>
                <w:color w:val="auto"/>
                <w:sz w:val="22"/>
                <w:szCs w:val="22"/>
                <w:lang w:eastAsia="en-US"/>
              </w:rPr>
              <w:t>clubs</w:t>
            </w:r>
            <w:r w:rsidR="00B245EB" w:rsidRPr="00967504">
              <w:rPr>
                <w:color w:val="auto"/>
                <w:sz w:val="22"/>
                <w:szCs w:val="22"/>
                <w:lang w:eastAsia="en-US"/>
              </w:rPr>
              <w:t xml:space="preserve"> reveals a narrowing gap between disadvantaged and non-disadvantaged students. In particular, access to The Arts is almost equal (2% gap). All trips and visits have a 15% participation rate (based on a school population of </w:t>
            </w:r>
            <w:r w:rsidR="00967504">
              <w:rPr>
                <w:color w:val="auto"/>
                <w:sz w:val="22"/>
                <w:szCs w:val="22"/>
                <w:lang w:eastAsia="en-US"/>
              </w:rPr>
              <w:t>10</w:t>
            </w:r>
            <w:r w:rsidR="00B245EB" w:rsidRPr="00967504">
              <w:rPr>
                <w:color w:val="auto"/>
                <w:sz w:val="22"/>
                <w:szCs w:val="22"/>
                <w:lang w:eastAsia="en-US"/>
              </w:rPr>
              <w:t>%)</w:t>
            </w:r>
            <w:r w:rsidRPr="00967504">
              <w:rPr>
                <w:color w:val="auto"/>
                <w:sz w:val="22"/>
                <w:szCs w:val="22"/>
                <w:lang w:eastAsia="en-US"/>
              </w:rPr>
              <w:t xml:space="preserve">. </w:t>
            </w:r>
            <w:r w:rsidR="00CF311A" w:rsidRPr="00967504">
              <w:rPr>
                <w:color w:val="auto"/>
                <w:sz w:val="22"/>
                <w:szCs w:val="22"/>
                <w:lang w:eastAsia="en-US"/>
              </w:rPr>
              <w:t>A</w:t>
            </w:r>
            <w:r w:rsidR="00B245EB" w:rsidRPr="00967504">
              <w:rPr>
                <w:color w:val="auto"/>
                <w:sz w:val="22"/>
                <w:szCs w:val="22"/>
                <w:lang w:eastAsia="en-US"/>
              </w:rPr>
              <w:t xml:space="preserve">ll disadvantaged students in Year 10 were supported to successfully complete a week of work experience. </w:t>
            </w:r>
          </w:p>
          <w:p w14:paraId="61AFE998" w14:textId="5578DEF0" w:rsidR="00B245EB" w:rsidRPr="00967504" w:rsidRDefault="00B245EB" w:rsidP="00967504">
            <w:pPr>
              <w:pStyle w:val="ListParagraph"/>
              <w:numPr>
                <w:ilvl w:val="0"/>
                <w:numId w:val="23"/>
              </w:numPr>
              <w:autoSpaceDN/>
              <w:spacing w:before="120"/>
              <w:rPr>
                <w:color w:val="auto"/>
                <w:sz w:val="22"/>
                <w:szCs w:val="22"/>
                <w:lang w:eastAsia="en-US"/>
              </w:rPr>
            </w:pPr>
            <w:r w:rsidRPr="00967504">
              <w:rPr>
                <w:color w:val="auto"/>
                <w:sz w:val="22"/>
                <w:szCs w:val="22"/>
                <w:lang w:eastAsia="en-US"/>
              </w:rPr>
              <w:t xml:space="preserve">In terms of pastoral support, </w:t>
            </w:r>
            <w:r w:rsidR="00967504" w:rsidRPr="00967504">
              <w:rPr>
                <w:color w:val="auto"/>
                <w:sz w:val="22"/>
                <w:szCs w:val="22"/>
                <w:lang w:eastAsia="en-US"/>
              </w:rPr>
              <w:t>a disproportionate number</w:t>
            </w:r>
            <w:r w:rsidRPr="00967504">
              <w:rPr>
                <w:color w:val="auto"/>
                <w:sz w:val="22"/>
                <w:szCs w:val="22"/>
                <w:lang w:eastAsia="en-US"/>
              </w:rPr>
              <w:t xml:space="preserve"> of the students accessing </w:t>
            </w:r>
            <w:r w:rsidR="00CF311A" w:rsidRPr="00967504">
              <w:rPr>
                <w:color w:val="auto"/>
                <w:sz w:val="22"/>
                <w:szCs w:val="22"/>
                <w:lang w:eastAsia="en-US"/>
              </w:rPr>
              <w:t>our</w:t>
            </w:r>
            <w:r w:rsidRPr="00967504">
              <w:rPr>
                <w:color w:val="auto"/>
                <w:sz w:val="22"/>
                <w:szCs w:val="22"/>
                <w:lang w:eastAsia="en-US"/>
              </w:rPr>
              <w:t xml:space="preserve"> Inclusion Centre</w:t>
            </w:r>
            <w:r w:rsidR="00CF311A" w:rsidRPr="00967504">
              <w:rPr>
                <w:color w:val="auto"/>
                <w:sz w:val="22"/>
                <w:szCs w:val="22"/>
                <w:lang w:eastAsia="en-US"/>
              </w:rPr>
              <w:t xml:space="preserve">, Reflection Room and </w:t>
            </w:r>
            <w:proofErr w:type="gramStart"/>
            <w:r w:rsidR="00CF311A" w:rsidRPr="00967504">
              <w:rPr>
                <w:color w:val="auto"/>
                <w:sz w:val="22"/>
                <w:szCs w:val="22"/>
                <w:lang w:eastAsia="en-US"/>
              </w:rPr>
              <w:t>Catch Up</w:t>
            </w:r>
            <w:proofErr w:type="gramEnd"/>
            <w:r w:rsidR="00CF311A" w:rsidRPr="00967504">
              <w:rPr>
                <w:color w:val="auto"/>
                <w:sz w:val="22"/>
                <w:szCs w:val="22"/>
                <w:lang w:eastAsia="en-US"/>
              </w:rPr>
              <w:t xml:space="preserve"> provision</w:t>
            </w:r>
            <w:r w:rsidRPr="00967504">
              <w:rPr>
                <w:color w:val="auto"/>
                <w:sz w:val="22"/>
                <w:szCs w:val="22"/>
                <w:lang w:eastAsia="en-US"/>
              </w:rPr>
              <w:t xml:space="preserve"> are disadvantaged, benefitting from timetabled interventions, small group and one-to-one teaching.</w:t>
            </w:r>
          </w:p>
          <w:p w14:paraId="4C4C4DE3" w14:textId="650E7726" w:rsidR="00AA08C6" w:rsidRPr="007A146D" w:rsidRDefault="009D2C19" w:rsidP="003911E0">
            <w:pPr>
              <w:autoSpaceDN/>
              <w:spacing w:before="120"/>
              <w:rPr>
                <w:rFonts w:cs="Arial"/>
                <w:color w:val="auto"/>
                <w:sz w:val="22"/>
                <w:szCs w:val="22"/>
                <w:lang w:eastAsia="en-US"/>
              </w:rPr>
            </w:pPr>
            <w:r>
              <w:rPr>
                <w:rFonts w:cs="Arial"/>
                <w:color w:val="auto"/>
                <w:sz w:val="22"/>
                <w:szCs w:val="22"/>
                <w:lang w:eastAsia="en-US"/>
              </w:rPr>
              <w:t>In evaluating disadvantaged students’ academic progress, w</w:t>
            </w:r>
            <w:r w:rsidR="00AA08C6" w:rsidRPr="007A146D">
              <w:rPr>
                <w:rFonts w:cs="Arial"/>
                <w:color w:val="auto"/>
                <w:sz w:val="22"/>
                <w:szCs w:val="22"/>
                <w:lang w:eastAsia="en-US"/>
              </w:rPr>
              <w:t xml:space="preserve">e analysed </w:t>
            </w:r>
            <w:r w:rsidR="008416D4">
              <w:rPr>
                <w:rFonts w:cs="Arial"/>
                <w:color w:val="auto"/>
                <w:sz w:val="22"/>
                <w:szCs w:val="22"/>
                <w:lang w:eastAsia="en-US"/>
              </w:rPr>
              <w:t>K</w:t>
            </w:r>
            <w:r w:rsidR="00AA08C6" w:rsidRPr="007A146D">
              <w:rPr>
                <w:rFonts w:cs="Arial"/>
                <w:color w:val="auto"/>
                <w:sz w:val="22"/>
                <w:szCs w:val="22"/>
                <w:lang w:eastAsia="en-US"/>
              </w:rPr>
              <w:t xml:space="preserve">ey </w:t>
            </w:r>
            <w:r w:rsidR="008416D4">
              <w:rPr>
                <w:rFonts w:cs="Arial"/>
                <w:color w:val="auto"/>
                <w:sz w:val="22"/>
                <w:szCs w:val="22"/>
                <w:lang w:eastAsia="en-US"/>
              </w:rPr>
              <w:t>S</w:t>
            </w:r>
            <w:r w:rsidR="00AA08C6" w:rsidRPr="007A146D">
              <w:rPr>
                <w:rFonts w:cs="Arial"/>
                <w:color w:val="auto"/>
                <w:sz w:val="22"/>
                <w:szCs w:val="22"/>
                <w:lang w:eastAsia="en-US"/>
              </w:rPr>
              <w:t xml:space="preserve">tage 4 </w:t>
            </w:r>
            <w:r>
              <w:rPr>
                <w:rFonts w:cs="Arial"/>
                <w:color w:val="auto"/>
                <w:sz w:val="22"/>
                <w:szCs w:val="22"/>
                <w:lang w:eastAsia="en-US"/>
              </w:rPr>
              <w:t>performance data for 202</w:t>
            </w:r>
            <w:r w:rsidR="00CF311A">
              <w:rPr>
                <w:rFonts w:cs="Arial"/>
                <w:color w:val="auto"/>
                <w:sz w:val="22"/>
                <w:szCs w:val="22"/>
                <w:lang w:eastAsia="en-US"/>
              </w:rPr>
              <w:t>3</w:t>
            </w:r>
            <w:r>
              <w:rPr>
                <w:rFonts w:cs="Arial"/>
                <w:color w:val="auto"/>
                <w:sz w:val="22"/>
                <w:szCs w:val="22"/>
                <w:lang w:eastAsia="en-US"/>
              </w:rPr>
              <w:t>/2</w:t>
            </w:r>
            <w:r w:rsidR="00CF311A">
              <w:rPr>
                <w:rFonts w:cs="Arial"/>
                <w:color w:val="auto"/>
                <w:sz w:val="22"/>
                <w:szCs w:val="22"/>
                <w:lang w:eastAsia="en-US"/>
              </w:rPr>
              <w:t>4</w:t>
            </w:r>
            <w:r>
              <w:rPr>
                <w:rFonts w:cs="Arial"/>
                <w:color w:val="auto"/>
                <w:sz w:val="22"/>
                <w:szCs w:val="22"/>
                <w:lang w:eastAsia="en-US"/>
              </w:rPr>
              <w:t xml:space="preserve"> </w:t>
            </w:r>
            <w:r w:rsidR="00AA08C6" w:rsidRPr="007A146D">
              <w:rPr>
                <w:rFonts w:cs="Arial"/>
                <w:color w:val="auto"/>
                <w:sz w:val="22"/>
                <w:szCs w:val="22"/>
                <w:lang w:eastAsia="en-US"/>
              </w:rPr>
              <w:t>and our own internal assessments.</w:t>
            </w:r>
            <w:r w:rsidR="00E029A6">
              <w:rPr>
                <w:rFonts w:cs="Arial"/>
                <w:color w:val="auto"/>
                <w:sz w:val="22"/>
                <w:szCs w:val="22"/>
                <w:lang w:eastAsia="en-US"/>
              </w:rPr>
              <w:t xml:space="preserve"> The Year 11 disadvantaged cohort was made up of 17 students</w:t>
            </w:r>
            <w:r w:rsidR="00646C1C">
              <w:rPr>
                <w:rFonts w:cs="Arial"/>
                <w:color w:val="auto"/>
                <w:sz w:val="22"/>
                <w:szCs w:val="22"/>
                <w:lang w:eastAsia="en-US"/>
              </w:rPr>
              <w:t>, representing 6.3% of the year group.</w:t>
            </w:r>
          </w:p>
          <w:p w14:paraId="2EFE1DEE" w14:textId="533FDC11" w:rsidR="00967504" w:rsidRDefault="00AA08C6" w:rsidP="00967504">
            <w:pPr>
              <w:autoSpaceDN/>
              <w:spacing w:before="120"/>
              <w:rPr>
                <w:color w:val="auto"/>
                <w:sz w:val="22"/>
                <w:szCs w:val="22"/>
                <w:lang w:eastAsia="en-US"/>
              </w:rPr>
            </w:pPr>
            <w:r w:rsidRPr="007A146D">
              <w:rPr>
                <w:color w:val="auto"/>
                <w:sz w:val="22"/>
                <w:szCs w:val="22"/>
                <w:lang w:eastAsia="en-US"/>
              </w:rPr>
              <w:t>For 202</w:t>
            </w:r>
            <w:r w:rsidR="00CF311A">
              <w:rPr>
                <w:color w:val="auto"/>
                <w:sz w:val="22"/>
                <w:szCs w:val="22"/>
                <w:lang w:eastAsia="en-US"/>
              </w:rPr>
              <w:t>4</w:t>
            </w:r>
            <w:r w:rsidRPr="007A146D">
              <w:rPr>
                <w:color w:val="auto"/>
                <w:sz w:val="22"/>
                <w:szCs w:val="22"/>
                <w:lang w:eastAsia="en-US"/>
              </w:rPr>
              <w:t xml:space="preserve">, </w:t>
            </w:r>
            <w:r w:rsidR="00967504">
              <w:rPr>
                <w:color w:val="auto"/>
                <w:sz w:val="22"/>
                <w:szCs w:val="22"/>
                <w:lang w:eastAsia="en-US"/>
              </w:rPr>
              <w:t xml:space="preserve">the average </w:t>
            </w:r>
            <w:r w:rsidR="00967504" w:rsidRPr="007A146D">
              <w:rPr>
                <w:color w:val="auto"/>
                <w:sz w:val="22"/>
                <w:szCs w:val="22"/>
                <w:lang w:eastAsia="en-US"/>
              </w:rPr>
              <w:t xml:space="preserve">Attainment 8 </w:t>
            </w:r>
            <w:r w:rsidR="00967504">
              <w:rPr>
                <w:color w:val="auto"/>
                <w:sz w:val="22"/>
                <w:szCs w:val="22"/>
                <w:lang w:eastAsia="en-US"/>
              </w:rPr>
              <w:t xml:space="preserve">score for our disadvantaged students </w:t>
            </w:r>
            <w:r w:rsidR="00967504" w:rsidRPr="007A146D">
              <w:rPr>
                <w:color w:val="auto"/>
                <w:sz w:val="22"/>
                <w:szCs w:val="22"/>
                <w:lang w:eastAsia="en-US"/>
              </w:rPr>
              <w:t xml:space="preserve">(which is a measure of GCSE attainment across 8 subjects) was </w:t>
            </w:r>
            <w:r w:rsidR="00967504">
              <w:rPr>
                <w:color w:val="auto"/>
                <w:sz w:val="22"/>
                <w:szCs w:val="22"/>
                <w:lang w:eastAsia="en-US"/>
              </w:rPr>
              <w:t>40.09</w:t>
            </w:r>
            <w:r w:rsidR="00967504" w:rsidRPr="007A146D">
              <w:rPr>
                <w:color w:val="auto"/>
                <w:sz w:val="22"/>
                <w:szCs w:val="22"/>
                <w:lang w:eastAsia="en-US"/>
              </w:rPr>
              <w:t xml:space="preserve">. </w:t>
            </w:r>
            <w:r w:rsidR="00967504">
              <w:rPr>
                <w:color w:val="auto"/>
                <w:sz w:val="22"/>
                <w:szCs w:val="22"/>
                <w:lang w:eastAsia="en-US"/>
              </w:rPr>
              <w:t>This compares favourably with the average Attainment 8 score in York of 34.9 and the national average Attainment 8 score of 34.5.</w:t>
            </w:r>
          </w:p>
          <w:p w14:paraId="519093B9" w14:textId="6A78F81F" w:rsidR="00E029A6" w:rsidRDefault="00967504" w:rsidP="003911E0">
            <w:pPr>
              <w:autoSpaceDN/>
              <w:spacing w:before="120"/>
              <w:rPr>
                <w:color w:val="auto"/>
                <w:sz w:val="22"/>
                <w:szCs w:val="22"/>
                <w:lang w:eastAsia="en-US"/>
              </w:rPr>
            </w:pPr>
            <w:r>
              <w:rPr>
                <w:color w:val="auto"/>
                <w:sz w:val="22"/>
                <w:szCs w:val="22"/>
                <w:lang w:eastAsia="en-US"/>
              </w:rPr>
              <w:t xml:space="preserve">The </w:t>
            </w:r>
            <w:r w:rsidR="00AA08C6" w:rsidRPr="007A146D">
              <w:rPr>
                <w:color w:val="auto"/>
                <w:sz w:val="22"/>
                <w:szCs w:val="22"/>
                <w:lang w:eastAsia="en-US"/>
              </w:rPr>
              <w:t>Progress 8 score (which is a measure of</w:t>
            </w:r>
            <w:r w:rsidR="00AA08C6" w:rsidRPr="007A146D">
              <w:rPr>
                <w:rFonts w:eastAsia="Arial"/>
                <w:color w:val="auto"/>
                <w:sz w:val="22"/>
                <w:szCs w:val="22"/>
                <w:lang w:eastAsia="en-US"/>
              </w:rPr>
              <w:t xml:space="preserve"> </w:t>
            </w:r>
            <w:r w:rsidR="00AA08C6" w:rsidRPr="007A146D">
              <w:rPr>
                <w:rFonts w:eastAsia="Arial" w:cs="Arial"/>
                <w:color w:val="0B0C0C"/>
                <w:sz w:val="22"/>
                <w:szCs w:val="22"/>
              </w:rPr>
              <w:t>how much progress pupils at this school made across 8 qualifications between the end of KS2 and the end of KS4, compared to other similar pupils nationally</w:t>
            </w:r>
            <w:r w:rsidR="00AA08C6" w:rsidRPr="007A146D">
              <w:rPr>
                <w:color w:val="auto"/>
                <w:sz w:val="22"/>
                <w:szCs w:val="22"/>
                <w:lang w:eastAsia="en-US"/>
              </w:rPr>
              <w:t xml:space="preserve">) </w:t>
            </w:r>
            <w:r w:rsidR="00E029A6">
              <w:rPr>
                <w:color w:val="auto"/>
                <w:sz w:val="22"/>
                <w:szCs w:val="22"/>
                <w:lang w:eastAsia="en-US"/>
              </w:rPr>
              <w:t>was -0.</w:t>
            </w:r>
            <w:r>
              <w:rPr>
                <w:color w:val="auto"/>
                <w:sz w:val="22"/>
                <w:szCs w:val="22"/>
                <w:lang w:eastAsia="en-US"/>
              </w:rPr>
              <w:t>6 compared to the national Progress 8 score for disadvantaged students of -0.57.</w:t>
            </w:r>
          </w:p>
          <w:p w14:paraId="1CC48166" w14:textId="12FF54A4" w:rsidR="00AA08C6" w:rsidRPr="007A146D" w:rsidRDefault="00AA08C6" w:rsidP="003911E0">
            <w:pPr>
              <w:autoSpaceDN/>
              <w:spacing w:before="120"/>
              <w:rPr>
                <w:color w:val="auto"/>
                <w:sz w:val="22"/>
                <w:szCs w:val="22"/>
                <w:lang w:eastAsia="en-US"/>
              </w:rPr>
            </w:pPr>
            <w:r w:rsidRPr="007A146D">
              <w:rPr>
                <w:color w:val="auto"/>
                <w:sz w:val="22"/>
                <w:szCs w:val="22"/>
                <w:lang w:eastAsia="en-US"/>
              </w:rPr>
              <w:t xml:space="preserve">Key stage 4 data </w:t>
            </w:r>
            <w:r w:rsidR="007754E9" w:rsidRPr="007A146D">
              <w:rPr>
                <w:color w:val="auto"/>
                <w:sz w:val="22"/>
                <w:szCs w:val="22"/>
                <w:lang w:eastAsia="en-US"/>
              </w:rPr>
              <w:t>indicate</w:t>
            </w:r>
            <w:r w:rsidR="00F81B22">
              <w:rPr>
                <w:color w:val="auto"/>
                <w:sz w:val="22"/>
                <w:szCs w:val="22"/>
                <w:lang w:eastAsia="en-US"/>
              </w:rPr>
              <w:t>s</w:t>
            </w:r>
            <w:r w:rsidRPr="007A146D">
              <w:rPr>
                <w:color w:val="auto"/>
                <w:sz w:val="22"/>
                <w:szCs w:val="22"/>
                <w:lang w:eastAsia="en-US"/>
              </w:rPr>
              <w:t xml:space="preserve"> that, despite some strong individual performances, the progress of the school’s disadvantaged pupils in 202</w:t>
            </w:r>
            <w:r w:rsidR="00967504">
              <w:rPr>
                <w:color w:val="auto"/>
                <w:sz w:val="22"/>
                <w:szCs w:val="22"/>
                <w:lang w:eastAsia="en-US"/>
              </w:rPr>
              <w:t>3</w:t>
            </w:r>
            <w:r w:rsidRPr="007A146D">
              <w:rPr>
                <w:color w:val="auto"/>
                <w:sz w:val="22"/>
                <w:szCs w:val="22"/>
                <w:lang w:eastAsia="en-US"/>
              </w:rPr>
              <w:t>/2</w:t>
            </w:r>
            <w:r w:rsidR="00967504">
              <w:rPr>
                <w:color w:val="auto"/>
                <w:sz w:val="22"/>
                <w:szCs w:val="22"/>
                <w:lang w:eastAsia="en-US"/>
              </w:rPr>
              <w:t>4</w:t>
            </w:r>
            <w:r w:rsidRPr="007A146D">
              <w:rPr>
                <w:color w:val="auto"/>
                <w:sz w:val="22"/>
                <w:szCs w:val="22"/>
                <w:lang w:eastAsia="en-US"/>
              </w:rPr>
              <w:t xml:space="preserve"> was below our expectations. </w:t>
            </w:r>
            <w:r w:rsidR="00F81B22">
              <w:rPr>
                <w:color w:val="auto"/>
                <w:sz w:val="22"/>
                <w:szCs w:val="22"/>
                <w:lang w:eastAsia="en-US"/>
              </w:rPr>
              <w:t>The Year 11 pupil premium cohort was very small,</w:t>
            </w:r>
            <w:r w:rsidR="00B456A4">
              <w:rPr>
                <w:color w:val="auto"/>
                <w:sz w:val="22"/>
                <w:szCs w:val="22"/>
                <w:lang w:eastAsia="en-US"/>
              </w:rPr>
              <w:t xml:space="preserve"> </w:t>
            </w:r>
            <w:r w:rsidR="00F81B22">
              <w:rPr>
                <w:color w:val="auto"/>
                <w:sz w:val="22"/>
                <w:szCs w:val="22"/>
                <w:lang w:eastAsia="en-US"/>
              </w:rPr>
              <w:t xml:space="preserve">so </w:t>
            </w:r>
            <w:r w:rsidR="00B456A4">
              <w:rPr>
                <w:color w:val="auto"/>
                <w:sz w:val="22"/>
                <w:szCs w:val="22"/>
                <w:lang w:eastAsia="en-US"/>
              </w:rPr>
              <w:t>minor variations in student performance had a significant effect. Of our 1</w:t>
            </w:r>
            <w:r w:rsidR="00967504">
              <w:rPr>
                <w:color w:val="auto"/>
                <w:sz w:val="22"/>
                <w:szCs w:val="22"/>
                <w:lang w:eastAsia="en-US"/>
              </w:rPr>
              <w:t>7</w:t>
            </w:r>
            <w:r w:rsidR="00B456A4">
              <w:rPr>
                <w:color w:val="auto"/>
                <w:sz w:val="22"/>
                <w:szCs w:val="22"/>
                <w:lang w:eastAsia="en-US"/>
              </w:rPr>
              <w:t xml:space="preserve"> pupil premium students, </w:t>
            </w:r>
            <w:r w:rsidR="00967504">
              <w:rPr>
                <w:color w:val="auto"/>
                <w:sz w:val="22"/>
                <w:szCs w:val="22"/>
                <w:lang w:eastAsia="en-US"/>
              </w:rPr>
              <w:t>2</w:t>
            </w:r>
            <w:r w:rsidR="00B456A4">
              <w:rPr>
                <w:color w:val="auto"/>
                <w:sz w:val="22"/>
                <w:szCs w:val="22"/>
                <w:lang w:eastAsia="en-US"/>
              </w:rPr>
              <w:t xml:space="preserve"> </w:t>
            </w:r>
            <w:r w:rsidR="00DC5F95">
              <w:rPr>
                <w:color w:val="auto"/>
                <w:sz w:val="22"/>
                <w:szCs w:val="22"/>
                <w:lang w:eastAsia="en-US"/>
              </w:rPr>
              <w:t>made more progress than the average for non-disadvantaged students</w:t>
            </w:r>
            <w:r w:rsidR="00646C1C">
              <w:rPr>
                <w:color w:val="auto"/>
                <w:sz w:val="22"/>
                <w:szCs w:val="22"/>
                <w:lang w:eastAsia="en-US"/>
              </w:rPr>
              <w:t>. In Maths,</w:t>
            </w:r>
            <w:r w:rsidR="00DC5F95">
              <w:rPr>
                <w:color w:val="auto"/>
                <w:sz w:val="22"/>
                <w:szCs w:val="22"/>
                <w:lang w:eastAsia="en-US"/>
              </w:rPr>
              <w:t xml:space="preserve"> </w:t>
            </w:r>
            <w:r w:rsidR="00646C1C">
              <w:rPr>
                <w:color w:val="auto"/>
                <w:sz w:val="22"/>
                <w:szCs w:val="22"/>
                <w:lang w:eastAsia="en-US"/>
              </w:rPr>
              <w:t>four</w:t>
            </w:r>
            <w:r w:rsidR="00DC5F95">
              <w:rPr>
                <w:color w:val="auto"/>
                <w:sz w:val="22"/>
                <w:szCs w:val="22"/>
                <w:lang w:eastAsia="en-US"/>
              </w:rPr>
              <w:t xml:space="preserve"> </w:t>
            </w:r>
            <w:r w:rsidR="00646C1C">
              <w:rPr>
                <w:color w:val="auto"/>
                <w:sz w:val="22"/>
                <w:szCs w:val="22"/>
                <w:lang w:eastAsia="en-US"/>
              </w:rPr>
              <w:t xml:space="preserve">students </w:t>
            </w:r>
            <w:r w:rsidR="00DC5F95">
              <w:rPr>
                <w:color w:val="auto"/>
                <w:sz w:val="22"/>
                <w:szCs w:val="22"/>
                <w:lang w:eastAsia="en-US"/>
              </w:rPr>
              <w:t>recorded positive Progress 8 scores, including one score of +</w:t>
            </w:r>
            <w:r w:rsidR="00646C1C">
              <w:rPr>
                <w:color w:val="auto"/>
                <w:sz w:val="22"/>
                <w:szCs w:val="22"/>
                <w:lang w:eastAsia="en-US"/>
              </w:rPr>
              <w:t>1</w:t>
            </w:r>
            <w:r w:rsidR="00DC5F95">
              <w:rPr>
                <w:color w:val="auto"/>
                <w:sz w:val="22"/>
                <w:szCs w:val="22"/>
                <w:lang w:eastAsia="en-US"/>
              </w:rPr>
              <w:t>.9</w:t>
            </w:r>
            <w:r w:rsidR="00646C1C">
              <w:rPr>
                <w:color w:val="auto"/>
                <w:sz w:val="22"/>
                <w:szCs w:val="22"/>
                <w:lang w:eastAsia="en-US"/>
              </w:rPr>
              <w:t>7</w:t>
            </w:r>
            <w:r w:rsidR="00DC5F95">
              <w:rPr>
                <w:color w:val="auto"/>
                <w:sz w:val="22"/>
                <w:szCs w:val="22"/>
                <w:lang w:eastAsia="en-US"/>
              </w:rPr>
              <w:t xml:space="preserve"> which represented a remarkable personal achievement</w:t>
            </w:r>
            <w:r w:rsidR="00B456A4">
              <w:rPr>
                <w:color w:val="auto"/>
                <w:sz w:val="22"/>
                <w:szCs w:val="22"/>
                <w:lang w:eastAsia="en-US"/>
              </w:rPr>
              <w:t xml:space="preserve">. </w:t>
            </w:r>
            <w:r w:rsidR="00646C1C">
              <w:rPr>
                <w:color w:val="auto"/>
                <w:sz w:val="22"/>
                <w:szCs w:val="22"/>
                <w:lang w:eastAsia="en-US"/>
              </w:rPr>
              <w:t>In English, six students recorded positive Progress 8 scores, including one score of 2.39, one of 1.74, and one of 0.9, all of whom have gone on to study English at A-level.</w:t>
            </w:r>
          </w:p>
          <w:p w14:paraId="78C06645" w14:textId="4A2DA794" w:rsidR="007754E9" w:rsidRDefault="00AA08C6" w:rsidP="003911E0">
            <w:pPr>
              <w:autoSpaceDN/>
              <w:spacing w:before="120"/>
              <w:rPr>
                <w:color w:val="auto"/>
                <w:sz w:val="22"/>
                <w:szCs w:val="22"/>
                <w:lang w:eastAsia="en-US"/>
              </w:rPr>
            </w:pPr>
            <w:r w:rsidRPr="007A146D">
              <w:rPr>
                <w:color w:val="auto"/>
                <w:sz w:val="22"/>
                <w:szCs w:val="22"/>
                <w:lang w:eastAsia="en-US"/>
              </w:rPr>
              <w:t xml:space="preserve">The gap between the Progress 8 and Attainment 8 scores of our disadvantaged and non-disadvantaged pupils has also grown since the start of the pandemic. </w:t>
            </w:r>
            <w:r w:rsidR="007754E9" w:rsidRPr="007A146D">
              <w:rPr>
                <w:color w:val="auto"/>
                <w:sz w:val="22"/>
                <w:szCs w:val="22"/>
                <w:lang w:eastAsia="en-US"/>
              </w:rPr>
              <w:t>In 2019, t</w:t>
            </w:r>
            <w:r w:rsidRPr="007A146D">
              <w:rPr>
                <w:color w:val="auto"/>
                <w:sz w:val="22"/>
                <w:szCs w:val="22"/>
                <w:lang w:eastAsia="en-US"/>
              </w:rPr>
              <w:t xml:space="preserve">he Progress 8 score of our disadvantaged pupils was </w:t>
            </w:r>
            <w:r w:rsidR="007754E9" w:rsidRPr="007A146D">
              <w:rPr>
                <w:color w:val="auto"/>
                <w:sz w:val="22"/>
                <w:szCs w:val="22"/>
                <w:lang w:eastAsia="en-US"/>
              </w:rPr>
              <w:t>+0.02</w:t>
            </w:r>
            <w:r w:rsidRPr="007A146D">
              <w:rPr>
                <w:color w:val="auto"/>
                <w:sz w:val="22"/>
                <w:szCs w:val="22"/>
                <w:lang w:eastAsia="en-US"/>
              </w:rPr>
              <w:t xml:space="preserve">, and the Attainment 8 score was </w:t>
            </w:r>
            <w:r w:rsidR="007754E9" w:rsidRPr="007A146D">
              <w:rPr>
                <w:color w:val="auto"/>
                <w:sz w:val="22"/>
                <w:szCs w:val="22"/>
                <w:lang w:eastAsia="en-US"/>
              </w:rPr>
              <w:t>44.75</w:t>
            </w:r>
            <w:r w:rsidRPr="007A146D">
              <w:rPr>
                <w:color w:val="auto"/>
                <w:sz w:val="22"/>
                <w:szCs w:val="22"/>
                <w:lang w:eastAsia="en-US"/>
              </w:rPr>
              <w:t>. Our analysis suggests the ongoing impact of CO</w:t>
            </w:r>
            <w:r w:rsidRPr="007A146D">
              <w:rPr>
                <w:sz w:val="22"/>
                <w:szCs w:val="22"/>
                <w:lang w:eastAsia="en-US"/>
              </w:rPr>
              <w:t>VID-19</w:t>
            </w:r>
            <w:r w:rsidR="007754E9" w:rsidRPr="007A146D">
              <w:rPr>
                <w:sz w:val="22"/>
                <w:szCs w:val="22"/>
                <w:lang w:eastAsia="en-US"/>
              </w:rPr>
              <w:t xml:space="preserve"> is a significant factor</w:t>
            </w:r>
            <w:r w:rsidRPr="007A146D">
              <w:rPr>
                <w:color w:val="auto"/>
                <w:sz w:val="22"/>
                <w:szCs w:val="22"/>
                <w:lang w:eastAsia="en-US"/>
              </w:rPr>
              <w:t xml:space="preserve">, and this is reflective of national figures </w:t>
            </w:r>
            <w:r w:rsidR="00967504">
              <w:rPr>
                <w:color w:val="auto"/>
                <w:sz w:val="22"/>
                <w:szCs w:val="22"/>
                <w:lang w:eastAsia="en-US"/>
              </w:rPr>
              <w:t xml:space="preserve">in 2023/24 </w:t>
            </w:r>
            <w:r w:rsidRPr="007A146D">
              <w:rPr>
                <w:color w:val="auto"/>
                <w:sz w:val="22"/>
                <w:szCs w:val="22"/>
                <w:lang w:eastAsia="en-US"/>
              </w:rPr>
              <w:t xml:space="preserve">demonstrating the </w:t>
            </w:r>
            <w:r w:rsidR="00DC5F95">
              <w:rPr>
                <w:color w:val="auto"/>
                <w:sz w:val="22"/>
                <w:szCs w:val="22"/>
                <w:lang w:eastAsia="en-US"/>
              </w:rPr>
              <w:t>widest gap between the academic performance of disadvantaged and non-disadvantaged students since 2011/2012.</w:t>
            </w:r>
          </w:p>
          <w:p w14:paraId="0B5C1D5B" w14:textId="04368F54" w:rsidR="007A146D" w:rsidRPr="00EC7F1F" w:rsidRDefault="00AA08C6" w:rsidP="003911E0">
            <w:pPr>
              <w:autoSpaceDN/>
              <w:spacing w:before="120"/>
              <w:rPr>
                <w:color w:val="auto"/>
                <w:lang w:eastAsia="en-US"/>
              </w:rPr>
            </w:pPr>
            <w:r w:rsidRPr="007A146D">
              <w:rPr>
                <w:color w:val="auto"/>
                <w:sz w:val="22"/>
                <w:szCs w:val="22"/>
                <w:lang w:eastAsia="en-US"/>
              </w:rPr>
              <w:t xml:space="preserve">These results </w:t>
            </w:r>
            <w:r w:rsidR="007A146D" w:rsidRPr="007A146D">
              <w:rPr>
                <w:color w:val="auto"/>
                <w:sz w:val="22"/>
                <w:szCs w:val="22"/>
                <w:lang w:eastAsia="en-US"/>
              </w:rPr>
              <w:t>s</w:t>
            </w:r>
            <w:r w:rsidR="007A146D" w:rsidRPr="007A146D">
              <w:rPr>
                <w:sz w:val="22"/>
                <w:szCs w:val="22"/>
                <w:lang w:eastAsia="en-US"/>
              </w:rPr>
              <w:t>uggest</w:t>
            </w:r>
            <w:r w:rsidRPr="007A146D">
              <w:rPr>
                <w:color w:val="auto"/>
                <w:sz w:val="22"/>
                <w:szCs w:val="22"/>
                <w:lang w:eastAsia="en-US"/>
              </w:rPr>
              <w:t xml:space="preserve"> that we </w:t>
            </w:r>
            <w:r w:rsidR="00F77C20">
              <w:rPr>
                <w:color w:val="auto"/>
                <w:sz w:val="22"/>
                <w:szCs w:val="22"/>
                <w:lang w:eastAsia="en-US"/>
              </w:rPr>
              <w:t xml:space="preserve">have not </w:t>
            </w:r>
            <w:r w:rsidR="00F81B22">
              <w:rPr>
                <w:color w:val="auto"/>
                <w:sz w:val="22"/>
                <w:szCs w:val="22"/>
                <w:lang w:eastAsia="en-US"/>
              </w:rPr>
              <w:t xml:space="preserve">yet </w:t>
            </w:r>
            <w:r w:rsidR="00F77C20">
              <w:rPr>
                <w:color w:val="auto"/>
                <w:sz w:val="22"/>
                <w:szCs w:val="22"/>
                <w:lang w:eastAsia="en-US"/>
              </w:rPr>
              <w:t xml:space="preserve">made the progress we had expected towards the </w:t>
            </w:r>
            <w:r w:rsidRPr="007A146D">
              <w:rPr>
                <w:color w:val="auto"/>
                <w:sz w:val="22"/>
                <w:szCs w:val="22"/>
                <w:lang w:eastAsia="en-US"/>
              </w:rPr>
              <w:t>outcomes that we set out to achieve by 202</w:t>
            </w:r>
            <w:r w:rsidR="00C270D8">
              <w:rPr>
                <w:color w:val="auto"/>
                <w:sz w:val="22"/>
                <w:szCs w:val="22"/>
                <w:lang w:eastAsia="en-US"/>
              </w:rPr>
              <w:t>3</w:t>
            </w:r>
            <w:r w:rsidRPr="007A146D">
              <w:rPr>
                <w:color w:val="auto"/>
                <w:sz w:val="22"/>
                <w:szCs w:val="22"/>
                <w:lang w:eastAsia="en-US"/>
              </w:rPr>
              <w:t>/2</w:t>
            </w:r>
            <w:r w:rsidR="00C270D8">
              <w:rPr>
                <w:color w:val="auto"/>
                <w:sz w:val="22"/>
                <w:szCs w:val="22"/>
                <w:lang w:eastAsia="en-US"/>
              </w:rPr>
              <w:t>4</w:t>
            </w:r>
            <w:r w:rsidRPr="007A146D">
              <w:rPr>
                <w:color w:val="auto"/>
                <w:sz w:val="22"/>
                <w:szCs w:val="22"/>
                <w:lang w:eastAsia="en-US"/>
              </w:rPr>
              <w:t xml:space="preserve">, as stated in the Intended Outcomes section above.  We have </w:t>
            </w:r>
            <w:r w:rsidR="007A146D" w:rsidRPr="007A146D">
              <w:rPr>
                <w:color w:val="auto"/>
                <w:sz w:val="22"/>
                <w:szCs w:val="22"/>
                <w:lang w:eastAsia="en-US"/>
              </w:rPr>
              <w:t>t</w:t>
            </w:r>
            <w:r w:rsidR="007A146D" w:rsidRPr="007A146D">
              <w:rPr>
                <w:sz w:val="22"/>
                <w:szCs w:val="22"/>
                <w:lang w:eastAsia="en-US"/>
              </w:rPr>
              <w:t xml:space="preserve">herefore </w:t>
            </w:r>
            <w:r w:rsidRPr="007A146D">
              <w:rPr>
                <w:color w:val="auto"/>
                <w:sz w:val="22"/>
                <w:szCs w:val="22"/>
                <w:lang w:eastAsia="en-US"/>
              </w:rPr>
              <w:t xml:space="preserve">reviewed </w:t>
            </w:r>
            <w:r w:rsidR="00FC3051">
              <w:rPr>
                <w:color w:val="auto"/>
                <w:sz w:val="22"/>
                <w:szCs w:val="22"/>
                <w:lang w:eastAsia="en-US"/>
              </w:rPr>
              <w:t xml:space="preserve">and adapted </w:t>
            </w:r>
            <w:r w:rsidRPr="007A146D">
              <w:rPr>
                <w:color w:val="auto"/>
                <w:sz w:val="22"/>
                <w:szCs w:val="22"/>
                <w:lang w:eastAsia="en-US"/>
              </w:rPr>
              <w:t>our strategy plan, as set out in the Activity in This Academic Year section above.</w:t>
            </w:r>
            <w:r>
              <w:rPr>
                <w:color w:val="auto"/>
                <w:lang w:eastAsia="en-US"/>
              </w:rPr>
              <w:t xml:space="preserve"> </w:t>
            </w:r>
          </w:p>
        </w:tc>
      </w:tr>
    </w:tbl>
    <w:p w14:paraId="5159442C" w14:textId="77777777" w:rsidR="00250D34" w:rsidRDefault="00250D34" w:rsidP="00250D34">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250D34" w14:paraId="67D037D5" w14:textId="77777777" w:rsidTr="00FC3051">
        <w:trPr>
          <w:trHeight w:val="6278"/>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5E3D8" w14:textId="4BFC5687" w:rsidR="00B6285C" w:rsidRDefault="00B6285C" w:rsidP="003911E0">
            <w:pPr>
              <w:autoSpaceDN/>
              <w:spacing w:before="120"/>
              <w:rPr>
                <w:rFonts w:cs="Arial"/>
                <w:iCs/>
                <w:color w:val="auto"/>
                <w:lang w:eastAsia="en-US"/>
              </w:rPr>
            </w:pPr>
            <w:r>
              <w:rPr>
                <w:rFonts w:cs="Arial"/>
                <w:iCs/>
                <w:color w:val="auto"/>
                <w:lang w:eastAsia="en-US"/>
              </w:rPr>
              <w:t xml:space="preserve">In order to evaluate the effectiveness of our pupil premium strategy, we undertook several review activities. </w:t>
            </w:r>
          </w:p>
          <w:p w14:paraId="4882F2F8" w14:textId="7C1689C6" w:rsidR="00B6285C" w:rsidRDefault="003642EB" w:rsidP="00F25628">
            <w:pPr>
              <w:pStyle w:val="ListParagraph"/>
              <w:numPr>
                <w:ilvl w:val="0"/>
                <w:numId w:val="22"/>
              </w:numPr>
              <w:autoSpaceDN/>
              <w:spacing w:before="120"/>
              <w:rPr>
                <w:rFonts w:cs="Arial"/>
                <w:iCs/>
                <w:color w:val="auto"/>
                <w:lang w:eastAsia="en-US"/>
              </w:rPr>
            </w:pPr>
            <w:r>
              <w:rPr>
                <w:rFonts w:cs="Arial"/>
                <w:iCs/>
                <w:color w:val="auto"/>
                <w:lang w:eastAsia="en-US"/>
              </w:rPr>
              <w:t xml:space="preserve">The Senior Leadership Team </w:t>
            </w:r>
            <w:r w:rsidR="00B6285C">
              <w:rPr>
                <w:rFonts w:cs="Arial"/>
                <w:iCs/>
                <w:color w:val="auto"/>
                <w:lang w:eastAsia="en-US"/>
              </w:rPr>
              <w:t xml:space="preserve">completed </w:t>
            </w:r>
            <w:r>
              <w:rPr>
                <w:rFonts w:cs="Arial"/>
                <w:iCs/>
                <w:color w:val="auto"/>
                <w:lang w:eastAsia="en-US"/>
              </w:rPr>
              <w:t>an</w:t>
            </w:r>
            <w:r w:rsidR="00F25628">
              <w:rPr>
                <w:rFonts w:cs="Arial"/>
                <w:iCs/>
                <w:color w:val="auto"/>
                <w:lang w:eastAsia="en-US"/>
              </w:rPr>
              <w:t xml:space="preserve"> </w:t>
            </w:r>
            <w:r w:rsidR="008416D4">
              <w:rPr>
                <w:rFonts w:cs="Arial"/>
                <w:iCs/>
                <w:color w:val="auto"/>
                <w:lang w:eastAsia="en-US"/>
              </w:rPr>
              <w:t>Impact Evaluation</w:t>
            </w:r>
            <w:r w:rsidR="00F25628">
              <w:rPr>
                <w:rFonts w:cs="Arial"/>
                <w:iCs/>
                <w:color w:val="auto"/>
                <w:lang w:eastAsia="en-US"/>
              </w:rPr>
              <w:t>, based on the</w:t>
            </w:r>
            <w:r w:rsidR="008416D4">
              <w:rPr>
                <w:rFonts w:cs="Arial"/>
                <w:iCs/>
                <w:color w:val="auto"/>
                <w:lang w:eastAsia="en-US"/>
              </w:rPr>
              <w:t xml:space="preserve"> guidance document </w:t>
            </w:r>
            <w:r w:rsidR="008416D4" w:rsidRPr="008416D4">
              <w:rPr>
                <w:rFonts w:cs="Arial"/>
                <w:i/>
                <w:color w:val="auto"/>
                <w:lang w:eastAsia="en-US"/>
              </w:rPr>
              <w:t>Evaluating Your Pupil Premium Strategy</w:t>
            </w:r>
            <w:r w:rsidR="00F25628">
              <w:rPr>
                <w:rFonts w:cs="Arial"/>
                <w:iCs/>
                <w:color w:val="auto"/>
                <w:lang w:eastAsia="en-US"/>
              </w:rPr>
              <w:t xml:space="preserve"> by Marc Rowland. </w:t>
            </w:r>
          </w:p>
          <w:p w14:paraId="610FC1CC" w14:textId="4CD24226" w:rsidR="008416D4" w:rsidRPr="00F25628" w:rsidRDefault="008416D4" w:rsidP="008416D4">
            <w:pPr>
              <w:pStyle w:val="ListParagraph"/>
              <w:numPr>
                <w:ilvl w:val="0"/>
                <w:numId w:val="0"/>
              </w:numPr>
              <w:autoSpaceDN/>
              <w:spacing w:before="120"/>
              <w:ind w:left="417"/>
              <w:rPr>
                <w:rFonts w:cs="Arial"/>
                <w:iCs/>
                <w:color w:val="auto"/>
                <w:lang w:eastAsia="en-US"/>
              </w:rPr>
            </w:pPr>
            <w:r>
              <w:rPr>
                <w:rFonts w:cs="Arial"/>
                <w:iCs/>
                <w:color w:val="auto"/>
                <w:lang w:eastAsia="en-US"/>
              </w:rPr>
              <w:t xml:space="preserve">This evaluation focused on </w:t>
            </w:r>
            <w:r w:rsidRPr="008416D4">
              <w:rPr>
                <w:rFonts w:cs="Arial"/>
                <w:iCs/>
                <w:color w:val="auto"/>
                <w:lang w:eastAsia="en-US"/>
              </w:rPr>
              <w:t xml:space="preserve">continuous improvement and building a solid evidence base that will enable the </w:t>
            </w:r>
            <w:r>
              <w:rPr>
                <w:rFonts w:cs="Arial"/>
                <w:iCs/>
                <w:color w:val="auto"/>
                <w:lang w:eastAsia="en-US"/>
              </w:rPr>
              <w:t>Pupil Premium Strategy</w:t>
            </w:r>
            <w:r w:rsidRPr="008416D4">
              <w:rPr>
                <w:rFonts w:cs="Arial"/>
                <w:iCs/>
                <w:color w:val="auto"/>
                <w:lang w:eastAsia="en-US"/>
              </w:rPr>
              <w:t xml:space="preserve"> to impact on disadvantaged pupils</w:t>
            </w:r>
            <w:r>
              <w:rPr>
                <w:rFonts w:cs="Arial"/>
                <w:iCs/>
                <w:color w:val="auto"/>
                <w:lang w:eastAsia="en-US"/>
              </w:rPr>
              <w:t xml:space="preserve"> into academic years 2023/24.</w:t>
            </w:r>
          </w:p>
          <w:p w14:paraId="7823C420" w14:textId="54F02868" w:rsidR="008416D4" w:rsidRDefault="008416D4" w:rsidP="00B6285C">
            <w:pPr>
              <w:pStyle w:val="ListParagraph"/>
              <w:numPr>
                <w:ilvl w:val="0"/>
                <w:numId w:val="22"/>
              </w:numPr>
              <w:autoSpaceDN/>
              <w:spacing w:before="120"/>
              <w:rPr>
                <w:rFonts w:cs="Arial"/>
                <w:iCs/>
                <w:color w:val="auto"/>
                <w:lang w:eastAsia="en-US"/>
              </w:rPr>
            </w:pPr>
            <w:r>
              <w:rPr>
                <w:rFonts w:cs="Arial"/>
                <w:iCs/>
                <w:color w:val="auto"/>
                <w:lang w:eastAsia="en-US"/>
              </w:rPr>
              <w:t>We asked teaching staff to reflect on the strategies they had used to support the success of disadvantaged students</w:t>
            </w:r>
            <w:r w:rsidR="003958AE">
              <w:rPr>
                <w:rFonts w:cs="Arial"/>
                <w:iCs/>
                <w:color w:val="auto"/>
                <w:lang w:eastAsia="en-US"/>
              </w:rPr>
              <w:t xml:space="preserve"> and to evaluate their effectiveness, as part of their yearly performance management process.</w:t>
            </w:r>
          </w:p>
          <w:p w14:paraId="2A90501C" w14:textId="32009AF1" w:rsidR="00B6285C" w:rsidRDefault="00B6285C" w:rsidP="00B6285C">
            <w:pPr>
              <w:pStyle w:val="ListParagraph"/>
              <w:numPr>
                <w:ilvl w:val="0"/>
                <w:numId w:val="22"/>
              </w:numPr>
              <w:autoSpaceDN/>
              <w:spacing w:before="120"/>
              <w:rPr>
                <w:rFonts w:cs="Arial"/>
                <w:iCs/>
                <w:color w:val="auto"/>
                <w:lang w:eastAsia="en-US"/>
              </w:rPr>
            </w:pPr>
            <w:r>
              <w:rPr>
                <w:rFonts w:cs="Arial"/>
                <w:iCs/>
                <w:color w:val="auto"/>
                <w:lang w:eastAsia="en-US"/>
              </w:rPr>
              <w:t>We undertook a curriculum review in which Curriculum Leaders identified good practice in their departments. This review was used to shape 202</w:t>
            </w:r>
            <w:r w:rsidR="003958AE">
              <w:rPr>
                <w:rFonts w:cs="Arial"/>
                <w:iCs/>
                <w:color w:val="auto"/>
                <w:lang w:eastAsia="en-US"/>
              </w:rPr>
              <w:t>3</w:t>
            </w:r>
            <w:r>
              <w:rPr>
                <w:rFonts w:cs="Arial"/>
                <w:iCs/>
                <w:color w:val="auto"/>
                <w:lang w:eastAsia="en-US"/>
              </w:rPr>
              <w:t>-2</w:t>
            </w:r>
            <w:r w:rsidR="003958AE">
              <w:rPr>
                <w:rFonts w:cs="Arial"/>
                <w:iCs/>
                <w:color w:val="auto"/>
                <w:lang w:eastAsia="en-US"/>
              </w:rPr>
              <w:t>4</w:t>
            </w:r>
            <w:r>
              <w:rPr>
                <w:rFonts w:cs="Arial"/>
                <w:iCs/>
                <w:color w:val="auto"/>
                <w:lang w:eastAsia="en-US"/>
              </w:rPr>
              <w:t xml:space="preserve"> Department Improvement Plans, with a specific priority devoted to improving outcomes for disadvantaged students.</w:t>
            </w:r>
          </w:p>
          <w:p w14:paraId="5F1EFAD4" w14:textId="6CF9067E" w:rsidR="00F25628" w:rsidRDefault="00F25628" w:rsidP="00B6285C">
            <w:pPr>
              <w:pStyle w:val="ListParagraph"/>
              <w:numPr>
                <w:ilvl w:val="0"/>
                <w:numId w:val="22"/>
              </w:numPr>
              <w:autoSpaceDN/>
              <w:spacing w:before="120"/>
              <w:rPr>
                <w:rFonts w:cs="Arial"/>
                <w:iCs/>
                <w:color w:val="auto"/>
                <w:lang w:eastAsia="en-US"/>
              </w:rPr>
            </w:pPr>
            <w:r>
              <w:rPr>
                <w:rFonts w:cs="Arial"/>
                <w:iCs/>
                <w:color w:val="auto"/>
                <w:lang w:eastAsia="en-US"/>
              </w:rPr>
              <w:t xml:space="preserve">We reviewed staff capacity to meet the needs of disadvantaged students, which led to the appointment of </w:t>
            </w:r>
            <w:r w:rsidR="008416D4">
              <w:rPr>
                <w:rFonts w:cs="Arial"/>
                <w:iCs/>
                <w:color w:val="auto"/>
                <w:lang w:eastAsia="en-US"/>
              </w:rPr>
              <w:t>two additional</w:t>
            </w:r>
            <w:r>
              <w:rPr>
                <w:rFonts w:cs="Arial"/>
                <w:iCs/>
                <w:color w:val="auto"/>
                <w:lang w:eastAsia="en-US"/>
              </w:rPr>
              <w:t xml:space="preserve"> Pupil Premium Advocates</w:t>
            </w:r>
          </w:p>
          <w:p w14:paraId="7DAC8112" w14:textId="77777777" w:rsidR="00EA004A" w:rsidRDefault="00F25628" w:rsidP="00FC3051">
            <w:pPr>
              <w:pStyle w:val="ListParagraph"/>
              <w:numPr>
                <w:ilvl w:val="0"/>
                <w:numId w:val="22"/>
              </w:numPr>
              <w:autoSpaceDN/>
              <w:spacing w:before="120"/>
              <w:rPr>
                <w:rFonts w:cs="Arial"/>
                <w:iCs/>
                <w:color w:val="auto"/>
                <w:lang w:eastAsia="en-US"/>
              </w:rPr>
            </w:pPr>
            <w:r>
              <w:rPr>
                <w:rFonts w:cs="Arial"/>
                <w:iCs/>
                <w:color w:val="auto"/>
                <w:lang w:eastAsia="en-US"/>
              </w:rPr>
              <w:t xml:space="preserve">We analysed the GCSE outcomes of disadvantaged students in Year 11 and created individual case studies, reflecting on their learning journey through Fulford School and identifying ways </w:t>
            </w:r>
            <w:r w:rsidR="00FC3051">
              <w:rPr>
                <w:rFonts w:cs="Arial"/>
                <w:iCs/>
                <w:color w:val="auto"/>
                <w:lang w:eastAsia="en-US"/>
              </w:rPr>
              <w:t>to improve our practice.</w:t>
            </w:r>
          </w:p>
          <w:p w14:paraId="40787293" w14:textId="3814AD2C" w:rsidR="003958AE" w:rsidRPr="00FC3051" w:rsidRDefault="003958AE" w:rsidP="00FC3051">
            <w:pPr>
              <w:pStyle w:val="ListParagraph"/>
              <w:numPr>
                <w:ilvl w:val="0"/>
                <w:numId w:val="22"/>
              </w:numPr>
              <w:autoSpaceDN/>
              <w:spacing w:before="120"/>
              <w:rPr>
                <w:rFonts w:cs="Arial"/>
                <w:iCs/>
                <w:color w:val="auto"/>
                <w:lang w:eastAsia="en-US"/>
              </w:rPr>
            </w:pPr>
            <w:r>
              <w:rPr>
                <w:rFonts w:cs="Arial"/>
                <w:iCs/>
                <w:color w:val="auto"/>
                <w:lang w:eastAsia="en-US"/>
              </w:rPr>
              <w:t>We analysed reports data to identify the impact of specific intervention and to identify priorities for 2023/24</w:t>
            </w:r>
          </w:p>
        </w:tc>
      </w:tr>
    </w:tbl>
    <w:p w14:paraId="2A7D5548" w14:textId="54AD548E" w:rsidR="00E66558" w:rsidRDefault="003958AE">
      <w:pPr>
        <w:pStyle w:val="Heading2"/>
        <w:spacing w:before="600"/>
      </w:pPr>
      <w:r>
        <w:t>E</w:t>
      </w:r>
      <w:r w:rsidR="009D71E8">
        <w:t>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8363CCD" w:rsidR="00E66558" w:rsidRDefault="00F81B22">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5D50957" w:rsidR="00E66558" w:rsidRDefault="00E66558">
            <w:pPr>
              <w:pStyle w:val="TableRowCentered"/>
              <w:jc w:val="left"/>
            </w:pPr>
          </w:p>
        </w:tc>
      </w:tr>
      <w:bookmarkEnd w:id="15"/>
      <w:bookmarkEnd w:id="16"/>
      <w:bookmarkEnd w:id="17"/>
    </w:tbl>
    <w:p w14:paraId="2A7D5564" w14:textId="77777777" w:rsidR="00E66558" w:rsidRDefault="00E66558"/>
    <w:sectPr w:rsidR="00E66558">
      <w:footerReference w:type="default" r:id="rId3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D35B" w14:textId="77777777" w:rsidR="00C83C64" w:rsidRDefault="00C83C64">
      <w:pPr>
        <w:spacing w:after="0" w:line="240" w:lineRule="auto"/>
      </w:pPr>
      <w:r>
        <w:separator/>
      </w:r>
    </w:p>
  </w:endnote>
  <w:endnote w:type="continuationSeparator" w:id="0">
    <w:p w14:paraId="7D869BB2" w14:textId="77777777" w:rsidR="00C83C64" w:rsidRDefault="00C8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2DD5037" w:rsidR="005E28A4" w:rsidRDefault="009D71E8">
    <w:pPr>
      <w:pStyle w:val="Footer"/>
      <w:ind w:firstLine="4513"/>
    </w:pPr>
    <w:r>
      <w:fldChar w:fldCharType="begin"/>
    </w:r>
    <w:r>
      <w:instrText xml:space="preserve"> PAGE </w:instrText>
    </w:r>
    <w:r>
      <w:fldChar w:fldCharType="separate"/>
    </w:r>
    <w:r w:rsidR="00C96C3B">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081B" w14:textId="77777777" w:rsidR="00C83C64" w:rsidRDefault="00C83C64">
      <w:pPr>
        <w:spacing w:after="0" w:line="240" w:lineRule="auto"/>
      </w:pPr>
      <w:r>
        <w:separator/>
      </w:r>
    </w:p>
  </w:footnote>
  <w:footnote w:type="continuationSeparator" w:id="0">
    <w:p w14:paraId="2796B1E4" w14:textId="77777777" w:rsidR="00C83C64" w:rsidRDefault="00C8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AF7267"/>
    <w:multiLevelType w:val="hybridMultilevel"/>
    <w:tmpl w:val="1FC2D26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62177E"/>
    <w:multiLevelType w:val="hybridMultilevel"/>
    <w:tmpl w:val="6BEE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90131"/>
    <w:multiLevelType w:val="hybridMultilevel"/>
    <w:tmpl w:val="09DA5232"/>
    <w:lvl w:ilvl="0" w:tplc="6A84B408">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C2C4EA4"/>
    <w:multiLevelType w:val="hybridMultilevel"/>
    <w:tmpl w:val="60644BF0"/>
    <w:lvl w:ilvl="0" w:tplc="6A84B408">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4236E"/>
    <w:multiLevelType w:val="hybridMultilevel"/>
    <w:tmpl w:val="5EFA2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4B61F95"/>
    <w:multiLevelType w:val="hybridMultilevel"/>
    <w:tmpl w:val="593E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C81397"/>
    <w:multiLevelType w:val="hybridMultilevel"/>
    <w:tmpl w:val="FA76493E"/>
    <w:lvl w:ilvl="0" w:tplc="5E789F68">
      <w:start w:val="202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9134D81"/>
    <w:multiLevelType w:val="hybridMultilevel"/>
    <w:tmpl w:val="32F4295A"/>
    <w:lvl w:ilvl="0" w:tplc="5E789F68">
      <w:start w:val="2021"/>
      <w:numFmt w:val="bullet"/>
      <w:lvlText w:val="-"/>
      <w:lvlJc w:val="left"/>
      <w:pPr>
        <w:ind w:left="474"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7"/>
  </w:num>
  <w:num w:numId="4">
    <w:abstractNumId w:val="10"/>
  </w:num>
  <w:num w:numId="5">
    <w:abstractNumId w:val="0"/>
  </w:num>
  <w:num w:numId="6">
    <w:abstractNumId w:val="11"/>
  </w:num>
  <w:num w:numId="7">
    <w:abstractNumId w:val="16"/>
  </w:num>
  <w:num w:numId="8">
    <w:abstractNumId w:val="21"/>
  </w:num>
  <w:num w:numId="9">
    <w:abstractNumId w:val="19"/>
  </w:num>
  <w:num w:numId="10">
    <w:abstractNumId w:val="18"/>
  </w:num>
  <w:num w:numId="11">
    <w:abstractNumId w:val="5"/>
  </w:num>
  <w:num w:numId="12">
    <w:abstractNumId w:val="20"/>
  </w:num>
  <w:num w:numId="13">
    <w:abstractNumId w:val="13"/>
  </w:num>
  <w:num w:numId="14">
    <w:abstractNumId w:val="9"/>
  </w:num>
  <w:num w:numId="15">
    <w:abstractNumId w:val="13"/>
  </w:num>
  <w:num w:numId="16">
    <w:abstractNumId w:val="14"/>
  </w:num>
  <w:num w:numId="17">
    <w:abstractNumId w:val="17"/>
  </w:num>
  <w:num w:numId="18">
    <w:abstractNumId w:val="1"/>
  </w:num>
  <w:num w:numId="19">
    <w:abstractNumId w:val="12"/>
  </w:num>
  <w:num w:numId="20">
    <w:abstractNumId w:val="4"/>
  </w:num>
  <w:num w:numId="21">
    <w:abstractNumId w:val="15"/>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2C2E"/>
    <w:rsid w:val="000452E7"/>
    <w:rsid w:val="000461A4"/>
    <w:rsid w:val="00056894"/>
    <w:rsid w:val="00063976"/>
    <w:rsid w:val="00066B73"/>
    <w:rsid w:val="000671E9"/>
    <w:rsid w:val="000A7C27"/>
    <w:rsid w:val="000B16AC"/>
    <w:rsid w:val="000B16E1"/>
    <w:rsid w:val="000B52BE"/>
    <w:rsid w:val="000B5A25"/>
    <w:rsid w:val="000E62CE"/>
    <w:rsid w:val="001032E6"/>
    <w:rsid w:val="00107523"/>
    <w:rsid w:val="00120AB1"/>
    <w:rsid w:val="00122B11"/>
    <w:rsid w:val="00135325"/>
    <w:rsid w:val="0017075E"/>
    <w:rsid w:val="001768A7"/>
    <w:rsid w:val="00197C25"/>
    <w:rsid w:val="001A32EC"/>
    <w:rsid w:val="001B2B17"/>
    <w:rsid w:val="001C6AB4"/>
    <w:rsid w:val="002178B3"/>
    <w:rsid w:val="00232385"/>
    <w:rsid w:val="00235096"/>
    <w:rsid w:val="00250D34"/>
    <w:rsid w:val="002E09C3"/>
    <w:rsid w:val="003035BE"/>
    <w:rsid w:val="0031083B"/>
    <w:rsid w:val="00323A8C"/>
    <w:rsid w:val="00332E9B"/>
    <w:rsid w:val="00343288"/>
    <w:rsid w:val="00352362"/>
    <w:rsid w:val="003642EB"/>
    <w:rsid w:val="00394B7E"/>
    <w:rsid w:val="003958AE"/>
    <w:rsid w:val="00397403"/>
    <w:rsid w:val="003D3575"/>
    <w:rsid w:val="003E1495"/>
    <w:rsid w:val="004044AA"/>
    <w:rsid w:val="00405A98"/>
    <w:rsid w:val="004203AC"/>
    <w:rsid w:val="00421089"/>
    <w:rsid w:val="0044051E"/>
    <w:rsid w:val="00446D2C"/>
    <w:rsid w:val="00450FAD"/>
    <w:rsid w:val="00474AAF"/>
    <w:rsid w:val="004A15DB"/>
    <w:rsid w:val="004B31AC"/>
    <w:rsid w:val="004C0ECD"/>
    <w:rsid w:val="004E00F2"/>
    <w:rsid w:val="004E4C94"/>
    <w:rsid w:val="004F6B1E"/>
    <w:rsid w:val="00517E50"/>
    <w:rsid w:val="0052016D"/>
    <w:rsid w:val="00525E06"/>
    <w:rsid w:val="005872EF"/>
    <w:rsid w:val="00596A47"/>
    <w:rsid w:val="005A770D"/>
    <w:rsid w:val="005B135D"/>
    <w:rsid w:val="005C16E3"/>
    <w:rsid w:val="005E294A"/>
    <w:rsid w:val="005E2F32"/>
    <w:rsid w:val="005E3C92"/>
    <w:rsid w:val="005E4259"/>
    <w:rsid w:val="005F2C10"/>
    <w:rsid w:val="005F3782"/>
    <w:rsid w:val="005F5153"/>
    <w:rsid w:val="00614F25"/>
    <w:rsid w:val="006469F3"/>
    <w:rsid w:val="00646C1C"/>
    <w:rsid w:val="006654A9"/>
    <w:rsid w:val="00676080"/>
    <w:rsid w:val="00681975"/>
    <w:rsid w:val="006A0816"/>
    <w:rsid w:val="006A4965"/>
    <w:rsid w:val="006C63FA"/>
    <w:rsid w:val="006E03B6"/>
    <w:rsid w:val="006E2AFF"/>
    <w:rsid w:val="006E59AC"/>
    <w:rsid w:val="006E7FB1"/>
    <w:rsid w:val="00732230"/>
    <w:rsid w:val="00741B9E"/>
    <w:rsid w:val="00743489"/>
    <w:rsid w:val="00751DAD"/>
    <w:rsid w:val="00754C6D"/>
    <w:rsid w:val="00763515"/>
    <w:rsid w:val="00770D98"/>
    <w:rsid w:val="007754E9"/>
    <w:rsid w:val="00783E37"/>
    <w:rsid w:val="0079004C"/>
    <w:rsid w:val="007A146D"/>
    <w:rsid w:val="007C2F04"/>
    <w:rsid w:val="007C5920"/>
    <w:rsid w:val="007E70C0"/>
    <w:rsid w:val="00807FB6"/>
    <w:rsid w:val="00827A7C"/>
    <w:rsid w:val="008416D4"/>
    <w:rsid w:val="00845F3E"/>
    <w:rsid w:val="00862C65"/>
    <w:rsid w:val="00870602"/>
    <w:rsid w:val="00881B8B"/>
    <w:rsid w:val="008826AA"/>
    <w:rsid w:val="008868FF"/>
    <w:rsid w:val="0089357E"/>
    <w:rsid w:val="008A04B4"/>
    <w:rsid w:val="008F4A12"/>
    <w:rsid w:val="0091344A"/>
    <w:rsid w:val="00913DF9"/>
    <w:rsid w:val="009170AC"/>
    <w:rsid w:val="00964BFB"/>
    <w:rsid w:val="00966881"/>
    <w:rsid w:val="00967504"/>
    <w:rsid w:val="00995A01"/>
    <w:rsid w:val="009A2753"/>
    <w:rsid w:val="009B4D52"/>
    <w:rsid w:val="009C4BB8"/>
    <w:rsid w:val="009D2C19"/>
    <w:rsid w:val="009D71E8"/>
    <w:rsid w:val="009D729D"/>
    <w:rsid w:val="009E6F48"/>
    <w:rsid w:val="00A0732A"/>
    <w:rsid w:val="00A22E48"/>
    <w:rsid w:val="00A62405"/>
    <w:rsid w:val="00A62C1C"/>
    <w:rsid w:val="00A677BF"/>
    <w:rsid w:val="00A85B48"/>
    <w:rsid w:val="00AA08C6"/>
    <w:rsid w:val="00AA64E2"/>
    <w:rsid w:val="00AC06E0"/>
    <w:rsid w:val="00AD012C"/>
    <w:rsid w:val="00AE0FDF"/>
    <w:rsid w:val="00AF1F0F"/>
    <w:rsid w:val="00B245EB"/>
    <w:rsid w:val="00B307D6"/>
    <w:rsid w:val="00B456A4"/>
    <w:rsid w:val="00B6285C"/>
    <w:rsid w:val="00BB125E"/>
    <w:rsid w:val="00BE4879"/>
    <w:rsid w:val="00C1224B"/>
    <w:rsid w:val="00C164AF"/>
    <w:rsid w:val="00C270D8"/>
    <w:rsid w:val="00C304DD"/>
    <w:rsid w:val="00C35B5F"/>
    <w:rsid w:val="00C5291A"/>
    <w:rsid w:val="00C80B74"/>
    <w:rsid w:val="00C82AA0"/>
    <w:rsid w:val="00C83C64"/>
    <w:rsid w:val="00C96C3B"/>
    <w:rsid w:val="00CA30C3"/>
    <w:rsid w:val="00CB2CA2"/>
    <w:rsid w:val="00CB338E"/>
    <w:rsid w:val="00CB5BA0"/>
    <w:rsid w:val="00CB7A36"/>
    <w:rsid w:val="00CC0B91"/>
    <w:rsid w:val="00CD168C"/>
    <w:rsid w:val="00CF03F8"/>
    <w:rsid w:val="00CF311A"/>
    <w:rsid w:val="00CF35BF"/>
    <w:rsid w:val="00D07F20"/>
    <w:rsid w:val="00D13144"/>
    <w:rsid w:val="00D23145"/>
    <w:rsid w:val="00D33FE5"/>
    <w:rsid w:val="00D52BE7"/>
    <w:rsid w:val="00D56975"/>
    <w:rsid w:val="00D605FB"/>
    <w:rsid w:val="00D80330"/>
    <w:rsid w:val="00D82794"/>
    <w:rsid w:val="00DA0D29"/>
    <w:rsid w:val="00DA6EEB"/>
    <w:rsid w:val="00DA7718"/>
    <w:rsid w:val="00DA783B"/>
    <w:rsid w:val="00DC524B"/>
    <w:rsid w:val="00DC5749"/>
    <w:rsid w:val="00DC5F95"/>
    <w:rsid w:val="00DC7760"/>
    <w:rsid w:val="00DE0595"/>
    <w:rsid w:val="00DF7A20"/>
    <w:rsid w:val="00E029A6"/>
    <w:rsid w:val="00E06BB5"/>
    <w:rsid w:val="00E24F4E"/>
    <w:rsid w:val="00E34CD9"/>
    <w:rsid w:val="00E56CC6"/>
    <w:rsid w:val="00E66558"/>
    <w:rsid w:val="00E83E0A"/>
    <w:rsid w:val="00EA004A"/>
    <w:rsid w:val="00EA6826"/>
    <w:rsid w:val="00EC362B"/>
    <w:rsid w:val="00EC7A1B"/>
    <w:rsid w:val="00EE41DE"/>
    <w:rsid w:val="00EE72D1"/>
    <w:rsid w:val="00F06036"/>
    <w:rsid w:val="00F25628"/>
    <w:rsid w:val="00F43A79"/>
    <w:rsid w:val="00F64FB8"/>
    <w:rsid w:val="00F70BAC"/>
    <w:rsid w:val="00F77C20"/>
    <w:rsid w:val="00F81B22"/>
    <w:rsid w:val="00F86E83"/>
    <w:rsid w:val="00F94622"/>
    <w:rsid w:val="00FA14AB"/>
    <w:rsid w:val="00FB11DC"/>
    <w:rsid w:val="00FB75B3"/>
    <w:rsid w:val="00FC3051"/>
    <w:rsid w:val="00FE53E4"/>
    <w:rsid w:val="00FE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96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B338E"/>
    <w:rPr>
      <w:color w:val="605E5C"/>
      <w:shd w:val="clear" w:color="auto" w:fill="E1DFDD"/>
    </w:rPr>
  </w:style>
  <w:style w:type="character" w:customStyle="1" w:styleId="normaltextrun">
    <w:name w:val="normaltextrun"/>
    <w:basedOn w:val="DefaultParagraphFont"/>
    <w:rsid w:val="00AA08C6"/>
  </w:style>
  <w:style w:type="character" w:styleId="UnresolvedMention">
    <w:name w:val="Unresolved Mention"/>
    <w:basedOn w:val="DefaultParagraphFont"/>
    <w:uiPriority w:val="99"/>
    <w:semiHidden/>
    <w:unhideWhenUsed/>
    <w:rsid w:val="005F5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9821">
      <w:bodyDiv w:val="1"/>
      <w:marLeft w:val="0"/>
      <w:marRight w:val="0"/>
      <w:marTop w:val="0"/>
      <w:marBottom w:val="0"/>
      <w:divBdr>
        <w:top w:val="none" w:sz="0" w:space="0" w:color="auto"/>
        <w:left w:val="none" w:sz="0" w:space="0" w:color="auto"/>
        <w:bottom w:val="none" w:sz="0" w:space="0" w:color="auto"/>
        <w:right w:val="none" w:sz="0" w:space="0" w:color="auto"/>
      </w:divBdr>
    </w:div>
    <w:div w:id="902643329">
      <w:bodyDiv w:val="1"/>
      <w:marLeft w:val="0"/>
      <w:marRight w:val="0"/>
      <w:marTop w:val="0"/>
      <w:marBottom w:val="0"/>
      <w:divBdr>
        <w:top w:val="none" w:sz="0" w:space="0" w:color="auto"/>
        <w:left w:val="none" w:sz="0" w:space="0" w:color="auto"/>
        <w:bottom w:val="none" w:sz="0" w:space="0" w:color="auto"/>
        <w:right w:val="none" w:sz="0" w:space="0" w:color="auto"/>
      </w:divBdr>
    </w:div>
    <w:div w:id="1052074123">
      <w:bodyDiv w:val="1"/>
      <w:marLeft w:val="0"/>
      <w:marRight w:val="0"/>
      <w:marTop w:val="0"/>
      <w:marBottom w:val="0"/>
      <w:divBdr>
        <w:top w:val="none" w:sz="0" w:space="0" w:color="auto"/>
        <w:left w:val="none" w:sz="0" w:space="0" w:color="auto"/>
        <w:bottom w:val="none" w:sz="0" w:space="0" w:color="auto"/>
        <w:right w:val="none" w:sz="0" w:space="0" w:color="auto"/>
      </w:divBdr>
    </w:div>
    <w:div w:id="1167985798">
      <w:bodyDiv w:val="1"/>
      <w:marLeft w:val="0"/>
      <w:marRight w:val="0"/>
      <w:marTop w:val="0"/>
      <w:marBottom w:val="0"/>
      <w:divBdr>
        <w:top w:val="none" w:sz="0" w:space="0" w:color="auto"/>
        <w:left w:val="none" w:sz="0" w:space="0" w:color="auto"/>
        <w:bottom w:val="none" w:sz="0" w:space="0" w:color="auto"/>
        <w:right w:val="none" w:sz="0" w:space="0" w:color="auto"/>
      </w:divBdr>
    </w:div>
    <w:div w:id="1917009430">
      <w:bodyDiv w:val="1"/>
      <w:marLeft w:val="0"/>
      <w:marRight w:val="0"/>
      <w:marTop w:val="0"/>
      <w:marBottom w:val="0"/>
      <w:divBdr>
        <w:top w:val="none" w:sz="0" w:space="0" w:color="auto"/>
        <w:left w:val="none" w:sz="0" w:space="0" w:color="auto"/>
        <w:bottom w:val="none" w:sz="0" w:space="0" w:color="auto"/>
        <w:right w:val="none" w:sz="0" w:space="0" w:color="auto"/>
      </w:divBdr>
    </w:div>
    <w:div w:id="2005277594">
      <w:bodyDiv w:val="1"/>
      <w:marLeft w:val="0"/>
      <w:marRight w:val="0"/>
      <w:marTop w:val="0"/>
      <w:marBottom w:val="0"/>
      <w:divBdr>
        <w:top w:val="none" w:sz="0" w:space="0" w:color="auto"/>
        <w:left w:val="none" w:sz="0" w:space="0" w:color="auto"/>
        <w:bottom w:val="none" w:sz="0" w:space="0" w:color="auto"/>
        <w:right w:val="none" w:sz="0" w:space="0" w:color="auto"/>
      </w:divBdr>
    </w:div>
    <w:div w:id="206433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up.com.cn/test/word-gap.pdf" TargetMode="External"/><Relationship Id="rId18" Type="http://schemas.openxmlformats.org/officeDocument/2006/relationships/hyperlink" Target="https://educationendowmentfoundation.org.uk/education-evidence/teaching-learning-toolkit/homework" TargetMode="External"/><Relationship Id="rId26" Type="http://schemas.openxmlformats.org/officeDocument/2006/relationships/hyperlink" Target="https://assets.publishing.service.gov.uk/government/uploads/system/uploads/attachment_data/file/755135/Mental_health_and_behaviour_in_schools__.pdf" TargetMode="External"/><Relationship Id="rId21" Type="http://schemas.openxmlformats.org/officeDocument/2006/relationships/hyperlink" Target="https://educationendowmentfoundation.org.uk/education-evidence/teaching-learning-toolkit/peer-tutoring" TargetMode="External"/><Relationship Id="rId34" Type="http://schemas.openxmlformats.org/officeDocument/2006/relationships/hyperlink" Target="https://educationendowmentfoundation.org.uk/education-evidence/guidance-reports/supporting-parents" TargetMode="External"/><Relationship Id="rId7" Type="http://schemas.openxmlformats.org/officeDocument/2006/relationships/hyperlink" Target="https://educationendowmentfoundation.org.uk/education-evidence/teaching-learning-toolkit/feedback" TargetMode="External"/><Relationship Id="rId12" Type="http://schemas.openxmlformats.org/officeDocument/2006/relationships/hyperlink" Target="https://assets.publishing.service.gov.uk/government/uploads/system/uploads/attachment_data/file/284286/reading_for_pleasure.pdf"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hyperlink" Target="https://educationendowmentfoundation.org.uk/education-evidence/teaching-learning-toolkit/behaviour-interventions" TargetMode="External"/><Relationship Id="rId33" Type="http://schemas.openxmlformats.org/officeDocument/2006/relationships/hyperlink" Target="https://educationendowmentfoundation.org.uk/education-evidence/teaching-learning-toolkit/parental-engagement"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behaviour-interventions" TargetMode="External"/><Relationship Id="rId20" Type="http://schemas.openxmlformats.org/officeDocument/2006/relationships/hyperlink" Target="https://educationendowmentfoundation.org.uk/education-evidence/teaching-learning-toolkit/phonics" TargetMode="External"/><Relationship Id="rId29" Type="http://schemas.openxmlformats.org/officeDocument/2006/relationships/hyperlink" Target="https://educationendowmentfoundation.org.uk/education-evidence/teaching-learning-toolkit/aspiration-interven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reading-comprehension-strategies" TargetMode="External"/><Relationship Id="rId24" Type="http://schemas.openxmlformats.org/officeDocument/2006/relationships/hyperlink" Target="https://educationendowmentfoundation.org.uk/education-evidence/teaching-learning-toolkit/social-and-emotional-learning" TargetMode="External"/><Relationship Id="rId32" Type="http://schemas.openxmlformats.org/officeDocument/2006/relationships/hyperlink" Target="https://educationendowmentfoundation.org.uk/education-evidence/teaching-learning-toolkit/physical-activity"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E:\Pupil%20Premium\Pupil%20Premium%20Statement%20FINAL\English%20as%20an%20additional%20language%20(EAL)%20|%20EEF%20(educationendowmentfoundation.org.uk)" TargetMode="External"/><Relationship Id="rId23" Type="http://schemas.openxmlformats.org/officeDocument/2006/relationships/hyperlink" Target="https://educationendowmentfoundation.org.uk/education-evidence/teaching-learning-toolkit/small-group-tuition" TargetMode="External"/><Relationship Id="rId28" Type="http://schemas.openxmlformats.org/officeDocument/2006/relationships/hyperlink" Target="https://educationendowmentfoundation.org.uk/education-evidence/evidence-reviews/attendance-interventions-rapid-evidence-assessment" TargetMode="External"/><Relationship Id="rId36" Type="http://schemas.openxmlformats.org/officeDocument/2006/relationships/fontTable" Target="fontTable.xml"/><Relationship Id="rId10" Type="http://schemas.openxmlformats.org/officeDocument/2006/relationships/hyperlink" Target="https://educationendowmentfoundation.org.uk/education-evidence/guidance-reports/feedback" TargetMode="External"/><Relationship Id="rId19" Type="http://schemas.openxmlformats.org/officeDocument/2006/relationships/hyperlink" Target="https://educationendowmentfoundation.org.uk/evidence-summaries/teaching-learning-toolkit/reading-comprehension-strategies/" TargetMode="External"/><Relationship Id="rId31" Type="http://schemas.openxmlformats.org/officeDocument/2006/relationships/hyperlink" Target="https://educationendowmentfoundation.org.uk/education-evidence/teaching-learning-toolkit/outdoor-adventure-learning"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digital" TargetMode="External"/><Relationship Id="rId14" Type="http://schemas.openxmlformats.org/officeDocument/2006/relationships/hyperlink" Target="https://www.bell-foundation.org.uk/eal-programme/research/english-as-an-additional-language-proficiency-in-english-and-pupils-educational-achievement-an-analysis-of-local-authority-data/"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educationendowmentfoundation.org.uk/education-evidence/guidance-reports/supporting-parents" TargetMode="External"/><Relationship Id="rId30" Type="http://schemas.openxmlformats.org/officeDocument/2006/relationships/hyperlink" Target="https://educationendowmentfoundation.org.uk/education-evidence/teaching-learning-toolkit/arts-participation" TargetMode="External"/><Relationship Id="rId35" Type="http://schemas.openxmlformats.org/officeDocument/2006/relationships/footer" Target="footer1.xml"/><Relationship Id="rId8" Type="http://schemas.openxmlformats.org/officeDocument/2006/relationships/hyperlink" Target="https://educationendowmentfoundation.org.uk/guidance-for-teachers/assessment-feedbac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5199</Words>
  <Characters>29638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Baroni, Mrs. R</cp:lastModifiedBy>
  <cp:revision>3</cp:revision>
  <cp:lastPrinted>2021-12-16T11:36:00Z</cp:lastPrinted>
  <dcterms:created xsi:type="dcterms:W3CDTF">2024-12-19T13:54:00Z</dcterms:created>
  <dcterms:modified xsi:type="dcterms:W3CDTF">2024-12-20T10:29:00Z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